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69A6D" w14:textId="77777777" w:rsidR="00705DF6" w:rsidRPr="00F35544" w:rsidRDefault="00705DF6" w:rsidP="00705DF6">
      <w:pPr>
        <w:adjustRightInd w:val="0"/>
        <w:jc w:val="center"/>
        <w:rPr>
          <w:b/>
          <w:sz w:val="20"/>
        </w:rPr>
      </w:pPr>
    </w:p>
    <w:p w14:paraId="41FF44CE" w14:textId="77777777" w:rsidR="00705DF6" w:rsidRPr="00F35544" w:rsidRDefault="00705DF6" w:rsidP="00705DF6">
      <w:pPr>
        <w:adjustRightInd w:val="0"/>
        <w:jc w:val="center"/>
        <w:rPr>
          <w:b/>
          <w:sz w:val="20"/>
        </w:rPr>
      </w:pPr>
    </w:p>
    <w:p w14:paraId="78FF5A64" w14:textId="4B356D6E" w:rsidR="00705DF6" w:rsidRPr="00F35544" w:rsidRDefault="00936F3C" w:rsidP="00705DF6">
      <w:pPr>
        <w:adjustRightInd w:val="0"/>
        <w:jc w:val="center"/>
        <w:rPr>
          <w:b/>
          <w:sz w:val="20"/>
        </w:rPr>
      </w:pPr>
      <w:r>
        <w:rPr>
          <w:b/>
          <w:noProof/>
          <w:sz w:val="20"/>
        </w:rPr>
        <w:drawing>
          <wp:inline distT="0" distB="0" distL="0" distR="0" wp14:anchorId="395B7AF1" wp14:editId="77F9F4E8">
            <wp:extent cx="3473450" cy="1207770"/>
            <wp:effectExtent l="0" t="0" r="0" b="0"/>
            <wp:docPr id="1" name="Picture 7" descr="Meguma_Gol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guma_Gold_Logo.png"/>
                    <pic:cNvPicPr>
                      <a:picLocks noChangeAspect="1" noChangeArrowheads="1"/>
                    </pic:cNvPicPr>
                  </pic:nvPicPr>
                  <pic:blipFill>
                    <a:blip r:embed="rId9">
                      <a:extLst>
                        <a:ext uri="{28A0092B-C50C-407E-A947-70E740481C1C}">
                          <a14:useLocalDpi xmlns:a14="http://schemas.microsoft.com/office/drawing/2010/main" val="0"/>
                        </a:ext>
                      </a:extLst>
                    </a:blip>
                    <a:srcRect l="4538" t="328" r="2434" b="7947"/>
                    <a:stretch>
                      <a:fillRect/>
                    </a:stretch>
                  </pic:blipFill>
                  <pic:spPr bwMode="auto">
                    <a:xfrm>
                      <a:off x="0" y="0"/>
                      <a:ext cx="3473450" cy="1207770"/>
                    </a:xfrm>
                    <a:prstGeom prst="rect">
                      <a:avLst/>
                    </a:prstGeom>
                    <a:noFill/>
                    <a:ln>
                      <a:noFill/>
                    </a:ln>
                  </pic:spPr>
                </pic:pic>
              </a:graphicData>
            </a:graphic>
          </wp:inline>
        </w:drawing>
      </w:r>
    </w:p>
    <w:p w14:paraId="773B9A12" w14:textId="77777777" w:rsidR="00FD1160" w:rsidRPr="00F35544" w:rsidRDefault="00FD1160" w:rsidP="00705DF6">
      <w:pPr>
        <w:adjustRightInd w:val="0"/>
        <w:jc w:val="center"/>
        <w:rPr>
          <w:b/>
          <w:sz w:val="20"/>
        </w:rPr>
      </w:pPr>
    </w:p>
    <w:p w14:paraId="4492AC89" w14:textId="77777777" w:rsidR="00FD1160" w:rsidRPr="00F35544" w:rsidRDefault="00FD1160" w:rsidP="00705DF6">
      <w:pPr>
        <w:adjustRightInd w:val="0"/>
        <w:jc w:val="center"/>
        <w:rPr>
          <w:b/>
          <w:sz w:val="20"/>
        </w:rPr>
      </w:pPr>
    </w:p>
    <w:p w14:paraId="49F1D152" w14:textId="77777777" w:rsidR="00705DF6" w:rsidRPr="00F35544" w:rsidRDefault="00705DF6" w:rsidP="00705DF6">
      <w:pPr>
        <w:adjustRightInd w:val="0"/>
        <w:jc w:val="center"/>
        <w:rPr>
          <w:b/>
          <w:sz w:val="20"/>
        </w:rPr>
      </w:pPr>
      <w:r w:rsidRPr="00F35544">
        <w:rPr>
          <w:b/>
          <w:sz w:val="20"/>
        </w:rPr>
        <w:t>MegumaGold Corp.</w:t>
      </w:r>
    </w:p>
    <w:p w14:paraId="5CF8108D" w14:textId="77777777" w:rsidR="00705DF6" w:rsidRPr="00F35544" w:rsidRDefault="00705DF6" w:rsidP="00705DF6">
      <w:pPr>
        <w:adjustRightInd w:val="0"/>
        <w:jc w:val="center"/>
        <w:rPr>
          <w:b/>
          <w:sz w:val="20"/>
        </w:rPr>
      </w:pPr>
    </w:p>
    <w:p w14:paraId="339FE24A" w14:textId="77777777" w:rsidR="00705DF6" w:rsidRPr="00F35544" w:rsidRDefault="00705DF6" w:rsidP="00705DF6">
      <w:pPr>
        <w:adjustRightInd w:val="0"/>
        <w:jc w:val="center"/>
        <w:rPr>
          <w:sz w:val="20"/>
        </w:rPr>
      </w:pPr>
      <w:r w:rsidRPr="00F35544">
        <w:rPr>
          <w:sz w:val="20"/>
        </w:rPr>
        <w:t>Management</w:t>
      </w:r>
      <w:r w:rsidR="0082683D" w:rsidRPr="00F35544">
        <w:rPr>
          <w:sz w:val="20"/>
        </w:rPr>
        <w:t>’s</w:t>
      </w:r>
      <w:r w:rsidRPr="00F35544">
        <w:rPr>
          <w:sz w:val="20"/>
        </w:rPr>
        <w:t xml:space="preserve"> Discussion and Analysis</w:t>
      </w:r>
    </w:p>
    <w:p w14:paraId="17B90E65" w14:textId="77777777" w:rsidR="00705DF6" w:rsidRPr="00F35544" w:rsidRDefault="00705DF6" w:rsidP="00705DF6">
      <w:pPr>
        <w:adjustRightInd w:val="0"/>
        <w:jc w:val="center"/>
        <w:rPr>
          <w:b/>
          <w:sz w:val="20"/>
        </w:rPr>
      </w:pPr>
    </w:p>
    <w:p w14:paraId="316A068B" w14:textId="704CDF85" w:rsidR="00705DF6" w:rsidRPr="00F35544" w:rsidRDefault="00705DF6" w:rsidP="00705DF6">
      <w:pPr>
        <w:tabs>
          <w:tab w:val="left" w:pos="2760"/>
          <w:tab w:val="center" w:pos="4680"/>
        </w:tabs>
        <w:adjustRightInd w:val="0"/>
        <w:jc w:val="center"/>
        <w:rPr>
          <w:bCs/>
          <w:sz w:val="20"/>
        </w:rPr>
      </w:pPr>
      <w:r w:rsidRPr="00F35544">
        <w:rPr>
          <w:bCs/>
          <w:sz w:val="20"/>
        </w:rPr>
        <w:t xml:space="preserve">For the </w:t>
      </w:r>
      <w:r w:rsidR="00A33665">
        <w:rPr>
          <w:bCs/>
          <w:sz w:val="20"/>
        </w:rPr>
        <w:t>Three-Month Period Ended</w:t>
      </w:r>
      <w:r w:rsidR="005C31DF" w:rsidRPr="00F35544">
        <w:rPr>
          <w:bCs/>
          <w:sz w:val="20"/>
        </w:rPr>
        <w:t xml:space="preserve"> </w:t>
      </w:r>
      <w:r w:rsidR="00A33665">
        <w:rPr>
          <w:bCs/>
          <w:sz w:val="20"/>
        </w:rPr>
        <w:t>June 30</w:t>
      </w:r>
      <w:r w:rsidR="005C31DF" w:rsidRPr="00F35544">
        <w:rPr>
          <w:bCs/>
          <w:sz w:val="20"/>
        </w:rPr>
        <w:t xml:space="preserve">, </w:t>
      </w:r>
      <w:r w:rsidR="00DF37EB" w:rsidRPr="00F35544">
        <w:rPr>
          <w:bCs/>
          <w:sz w:val="20"/>
        </w:rPr>
        <w:t>20</w:t>
      </w:r>
      <w:r w:rsidR="00DF37EB">
        <w:rPr>
          <w:bCs/>
          <w:sz w:val="20"/>
        </w:rPr>
        <w:t>20</w:t>
      </w:r>
      <w:r w:rsidR="00DF37EB" w:rsidRPr="00F35544">
        <w:rPr>
          <w:bCs/>
          <w:sz w:val="20"/>
        </w:rPr>
        <w:t xml:space="preserve"> </w:t>
      </w:r>
      <w:r w:rsidR="005C31DF" w:rsidRPr="00F35544">
        <w:rPr>
          <w:bCs/>
          <w:sz w:val="20"/>
        </w:rPr>
        <w:t>and 201</w:t>
      </w:r>
      <w:r w:rsidR="00DF37EB">
        <w:rPr>
          <w:bCs/>
          <w:sz w:val="20"/>
        </w:rPr>
        <w:t>9</w:t>
      </w:r>
    </w:p>
    <w:p w14:paraId="4B89D1C5" w14:textId="77777777" w:rsidR="00705DF6" w:rsidRPr="00F35544" w:rsidRDefault="00705DF6" w:rsidP="00705DF6">
      <w:pPr>
        <w:adjustRightInd w:val="0"/>
        <w:jc w:val="both"/>
        <w:rPr>
          <w:bCs/>
          <w:sz w:val="20"/>
        </w:rPr>
        <w:sectPr w:rsidR="00705DF6" w:rsidRPr="00F35544" w:rsidSect="00705DF6">
          <w:headerReference w:type="default" r:id="rId10"/>
          <w:footerReference w:type="default" r:id="rId11"/>
          <w:footerReference w:type="first" r:id="rId12"/>
          <w:pgSz w:w="12240" w:h="15840"/>
          <w:pgMar w:top="1440" w:right="1440" w:bottom="1440" w:left="1440" w:header="708" w:footer="708" w:gutter="0"/>
          <w:cols w:space="708"/>
          <w:titlePg/>
          <w:docGrid w:linePitch="360"/>
        </w:sectPr>
      </w:pPr>
    </w:p>
    <w:p w14:paraId="01415327" w14:textId="24215DE2" w:rsidR="000928F5" w:rsidRPr="00F35544" w:rsidRDefault="001D1577" w:rsidP="00A573C3">
      <w:pPr>
        <w:jc w:val="both"/>
        <w:rPr>
          <w:i/>
          <w:iCs/>
          <w:sz w:val="20"/>
        </w:rPr>
      </w:pPr>
      <w:r w:rsidRPr="00F35544">
        <w:rPr>
          <w:i/>
          <w:iCs/>
          <w:sz w:val="20"/>
        </w:rPr>
        <w:lastRenderedPageBreak/>
        <w:t xml:space="preserve">This management's discussion and analysis provides an analysis of our financial situation which will enable the reader to evaluate important variations in our financial situation for the </w:t>
      </w:r>
      <w:r w:rsidR="00A33665">
        <w:rPr>
          <w:i/>
          <w:iCs/>
          <w:sz w:val="20"/>
        </w:rPr>
        <w:t>period</w:t>
      </w:r>
      <w:r w:rsidR="005C31DF" w:rsidRPr="00F35544">
        <w:rPr>
          <w:i/>
          <w:iCs/>
          <w:sz w:val="20"/>
        </w:rPr>
        <w:t xml:space="preserve"> </w:t>
      </w:r>
      <w:r w:rsidR="0089645C" w:rsidRPr="00F35544">
        <w:rPr>
          <w:i/>
          <w:iCs/>
          <w:sz w:val="20"/>
        </w:rPr>
        <w:t>ended</w:t>
      </w:r>
      <w:r w:rsidR="005C31DF" w:rsidRPr="00F35544">
        <w:rPr>
          <w:i/>
          <w:iCs/>
          <w:sz w:val="20"/>
        </w:rPr>
        <w:t xml:space="preserve"> </w:t>
      </w:r>
      <w:r w:rsidR="00A33665">
        <w:rPr>
          <w:i/>
          <w:iCs/>
          <w:sz w:val="20"/>
        </w:rPr>
        <w:t>June</w:t>
      </w:r>
      <w:r w:rsidR="005C31DF" w:rsidRPr="00F35544">
        <w:rPr>
          <w:i/>
          <w:iCs/>
          <w:sz w:val="20"/>
        </w:rPr>
        <w:t xml:space="preserve"> 3</w:t>
      </w:r>
      <w:r w:rsidR="00A33665">
        <w:rPr>
          <w:i/>
          <w:iCs/>
          <w:sz w:val="20"/>
        </w:rPr>
        <w:t>0</w:t>
      </w:r>
      <w:r w:rsidR="005C31DF" w:rsidRPr="00F35544">
        <w:rPr>
          <w:i/>
          <w:iCs/>
          <w:sz w:val="20"/>
        </w:rPr>
        <w:t>, 20</w:t>
      </w:r>
      <w:r w:rsidR="00E13B32">
        <w:rPr>
          <w:i/>
          <w:iCs/>
          <w:sz w:val="20"/>
        </w:rPr>
        <w:t>20</w:t>
      </w:r>
      <w:r w:rsidRPr="00F35544">
        <w:rPr>
          <w:i/>
          <w:iCs/>
          <w:sz w:val="20"/>
        </w:rPr>
        <w:t xml:space="preserve">, compared to the </w:t>
      </w:r>
      <w:r w:rsidR="00A33665">
        <w:rPr>
          <w:i/>
          <w:iCs/>
          <w:sz w:val="20"/>
        </w:rPr>
        <w:t>period</w:t>
      </w:r>
      <w:r w:rsidR="005C31DF" w:rsidRPr="00F35544">
        <w:rPr>
          <w:i/>
          <w:iCs/>
          <w:sz w:val="20"/>
        </w:rPr>
        <w:t xml:space="preserve"> ended </w:t>
      </w:r>
      <w:r w:rsidR="00A33665">
        <w:rPr>
          <w:i/>
          <w:iCs/>
          <w:sz w:val="20"/>
        </w:rPr>
        <w:t>June</w:t>
      </w:r>
      <w:r w:rsidR="005C31DF" w:rsidRPr="00F35544">
        <w:rPr>
          <w:i/>
          <w:iCs/>
          <w:sz w:val="20"/>
        </w:rPr>
        <w:t xml:space="preserve"> 3</w:t>
      </w:r>
      <w:r w:rsidR="00A33665">
        <w:rPr>
          <w:i/>
          <w:iCs/>
          <w:sz w:val="20"/>
        </w:rPr>
        <w:t>0</w:t>
      </w:r>
      <w:r w:rsidR="005C31DF" w:rsidRPr="00F35544">
        <w:rPr>
          <w:i/>
          <w:iCs/>
          <w:sz w:val="20"/>
        </w:rPr>
        <w:t>, 2019</w:t>
      </w:r>
      <w:r w:rsidR="0089645C" w:rsidRPr="00F35544">
        <w:rPr>
          <w:i/>
          <w:iCs/>
          <w:sz w:val="20"/>
        </w:rPr>
        <w:t>.</w:t>
      </w:r>
      <w:r w:rsidRPr="00F35544">
        <w:rPr>
          <w:i/>
          <w:iCs/>
          <w:sz w:val="20"/>
        </w:rPr>
        <w:t xml:space="preserve"> This report prepared as </w:t>
      </w:r>
      <w:r w:rsidRPr="006B13BF">
        <w:rPr>
          <w:i/>
          <w:iCs/>
          <w:sz w:val="20"/>
        </w:rPr>
        <w:t xml:space="preserve">at </w:t>
      </w:r>
      <w:r w:rsidR="00A33665">
        <w:rPr>
          <w:i/>
          <w:iCs/>
          <w:sz w:val="20"/>
        </w:rPr>
        <w:t>August</w:t>
      </w:r>
      <w:r w:rsidR="00FD7A22" w:rsidRPr="006B13BF">
        <w:rPr>
          <w:i/>
          <w:iCs/>
          <w:sz w:val="20"/>
        </w:rPr>
        <w:t xml:space="preserve"> </w:t>
      </w:r>
      <w:r w:rsidR="00A33665">
        <w:rPr>
          <w:i/>
          <w:iCs/>
          <w:sz w:val="20"/>
        </w:rPr>
        <w:t>28</w:t>
      </w:r>
      <w:r w:rsidR="008D6BCF" w:rsidRPr="006B13BF">
        <w:rPr>
          <w:i/>
          <w:iCs/>
          <w:sz w:val="20"/>
        </w:rPr>
        <w:t>, 20</w:t>
      </w:r>
      <w:r w:rsidR="00E13B32" w:rsidRPr="006B13BF">
        <w:rPr>
          <w:i/>
          <w:iCs/>
          <w:sz w:val="20"/>
        </w:rPr>
        <w:t>20</w:t>
      </w:r>
      <w:r w:rsidR="00BC3CA4" w:rsidRPr="006B13BF">
        <w:rPr>
          <w:i/>
          <w:iCs/>
          <w:sz w:val="20"/>
        </w:rPr>
        <w:t xml:space="preserve"> </w:t>
      </w:r>
      <w:r w:rsidRPr="006B13BF">
        <w:rPr>
          <w:i/>
          <w:iCs/>
          <w:sz w:val="20"/>
        </w:rPr>
        <w:t>i</w:t>
      </w:r>
      <w:r w:rsidRPr="00F35544">
        <w:rPr>
          <w:i/>
          <w:iCs/>
          <w:sz w:val="20"/>
        </w:rPr>
        <w:t xml:space="preserve">ntends to complement and supplement our </w:t>
      </w:r>
      <w:r w:rsidR="00A33665">
        <w:rPr>
          <w:i/>
          <w:iCs/>
          <w:sz w:val="20"/>
        </w:rPr>
        <w:t xml:space="preserve">condensed interim </w:t>
      </w:r>
      <w:r w:rsidRPr="00F35544">
        <w:rPr>
          <w:i/>
          <w:iCs/>
          <w:sz w:val="20"/>
        </w:rPr>
        <w:t xml:space="preserve">consolidated financial statements (the “financial statements”) as at </w:t>
      </w:r>
      <w:r w:rsidR="00A33665">
        <w:rPr>
          <w:i/>
          <w:iCs/>
          <w:sz w:val="20"/>
        </w:rPr>
        <w:t>June 30</w:t>
      </w:r>
      <w:r w:rsidR="005C31DF" w:rsidRPr="00F35544">
        <w:rPr>
          <w:bCs/>
          <w:i/>
          <w:iCs/>
          <w:sz w:val="20"/>
        </w:rPr>
        <w:t>, 20</w:t>
      </w:r>
      <w:r w:rsidR="00E13B32">
        <w:rPr>
          <w:bCs/>
          <w:i/>
          <w:iCs/>
          <w:sz w:val="20"/>
        </w:rPr>
        <w:t>20</w:t>
      </w:r>
      <w:r w:rsidRPr="00F35544">
        <w:rPr>
          <w:bCs/>
          <w:i/>
          <w:iCs/>
          <w:sz w:val="20"/>
        </w:rPr>
        <w:t xml:space="preserve"> </w:t>
      </w:r>
      <w:r w:rsidRPr="00F35544">
        <w:rPr>
          <w:i/>
          <w:iCs/>
          <w:sz w:val="20"/>
        </w:rPr>
        <w:t>and should be read in conjunction with the financial statements and the accompanying notes. The financial statements of subsidiaries are included in the consolidated financial statements from the date that control commences until the date that control ceases.</w:t>
      </w:r>
    </w:p>
    <w:p w14:paraId="421FB7D0" w14:textId="77777777" w:rsidR="00A573C3" w:rsidRPr="00F35544" w:rsidRDefault="00A573C3" w:rsidP="00A573C3">
      <w:pPr>
        <w:jc w:val="both"/>
        <w:rPr>
          <w:bCs/>
          <w:sz w:val="20"/>
        </w:rPr>
      </w:pPr>
    </w:p>
    <w:p w14:paraId="55DB8CB1" w14:textId="77777777" w:rsidR="000928F5" w:rsidRPr="00F35544" w:rsidRDefault="000928F5" w:rsidP="00A573C3">
      <w:pPr>
        <w:adjustRightInd w:val="0"/>
        <w:jc w:val="both"/>
        <w:rPr>
          <w:i/>
          <w:iCs/>
          <w:sz w:val="20"/>
          <w:lang w:eastAsia="en-CA"/>
        </w:rPr>
      </w:pPr>
      <w:r w:rsidRPr="00F35544">
        <w:rPr>
          <w:i/>
          <w:iCs/>
          <w:sz w:val="20"/>
          <w:lang w:eastAsia="en-CA"/>
        </w:rPr>
        <w:t>Our financial statements and the management's discussion and analysis are intended to provide a reasonable base for the investor to evaluate our financial situation.</w:t>
      </w:r>
    </w:p>
    <w:p w14:paraId="62B13758" w14:textId="77777777" w:rsidR="00A573C3" w:rsidRPr="00F35544" w:rsidRDefault="00A573C3" w:rsidP="00A573C3">
      <w:pPr>
        <w:widowControl/>
        <w:autoSpaceDE w:val="0"/>
        <w:autoSpaceDN w:val="0"/>
        <w:adjustRightInd w:val="0"/>
        <w:jc w:val="both"/>
        <w:rPr>
          <w:i/>
          <w:iCs/>
          <w:sz w:val="20"/>
          <w:lang w:eastAsia="en-CA"/>
        </w:rPr>
      </w:pPr>
    </w:p>
    <w:p w14:paraId="43A50B07" w14:textId="77777777" w:rsidR="000928F5" w:rsidRPr="00F35544" w:rsidRDefault="000928F5" w:rsidP="00A573C3">
      <w:pPr>
        <w:widowControl/>
        <w:autoSpaceDE w:val="0"/>
        <w:autoSpaceDN w:val="0"/>
        <w:adjustRightInd w:val="0"/>
        <w:jc w:val="both"/>
        <w:rPr>
          <w:i/>
          <w:iCs/>
          <w:sz w:val="20"/>
          <w:lang w:eastAsia="en-CA"/>
        </w:rPr>
      </w:pPr>
      <w:r w:rsidRPr="00F35544">
        <w:rPr>
          <w:i/>
          <w:iCs/>
          <w:sz w:val="20"/>
          <w:lang w:eastAsia="en-CA"/>
        </w:rPr>
        <w:t>Our financial statements have been prepared using accounting policies consistent with International Financial Reporting Standards (“IFRS”). All dollar amounts contained in this MD&amp;A are expressed in Canadian dollars, unless otherwise specified.</w:t>
      </w:r>
    </w:p>
    <w:p w14:paraId="2DA4E023" w14:textId="77777777" w:rsidR="00A573C3" w:rsidRPr="00F35544" w:rsidRDefault="00A573C3" w:rsidP="00A573C3">
      <w:pPr>
        <w:widowControl/>
        <w:autoSpaceDE w:val="0"/>
        <w:autoSpaceDN w:val="0"/>
        <w:adjustRightInd w:val="0"/>
        <w:jc w:val="both"/>
        <w:rPr>
          <w:i/>
          <w:iCs/>
          <w:sz w:val="20"/>
          <w:lang w:eastAsia="en-CA"/>
        </w:rPr>
      </w:pPr>
    </w:p>
    <w:p w14:paraId="29377B54" w14:textId="77777777" w:rsidR="000928F5" w:rsidRPr="00F35544" w:rsidRDefault="000928F5" w:rsidP="00A573C3">
      <w:pPr>
        <w:widowControl/>
        <w:autoSpaceDE w:val="0"/>
        <w:autoSpaceDN w:val="0"/>
        <w:adjustRightInd w:val="0"/>
        <w:jc w:val="both"/>
        <w:rPr>
          <w:i/>
          <w:iCs/>
          <w:sz w:val="20"/>
          <w:lang w:eastAsia="en-CA"/>
        </w:rPr>
      </w:pPr>
      <w:r w:rsidRPr="00F35544">
        <w:rPr>
          <w:i/>
          <w:iCs/>
          <w:sz w:val="20"/>
          <w:lang w:eastAsia="en-CA"/>
        </w:rPr>
        <w:t>Where we say “we”, “us”, “our”, the “Company” or “</w:t>
      </w:r>
      <w:r w:rsidR="000F4D05" w:rsidRPr="00F35544">
        <w:rPr>
          <w:i/>
          <w:iCs/>
          <w:sz w:val="20"/>
          <w:lang w:eastAsia="en-CA"/>
        </w:rPr>
        <w:t>MegumaGold</w:t>
      </w:r>
      <w:r w:rsidRPr="00F35544">
        <w:rPr>
          <w:i/>
          <w:iCs/>
          <w:sz w:val="20"/>
          <w:lang w:eastAsia="en-CA"/>
        </w:rPr>
        <w:t xml:space="preserve">”, we mean </w:t>
      </w:r>
      <w:r w:rsidR="000F4D05" w:rsidRPr="00F35544">
        <w:rPr>
          <w:i/>
          <w:iCs/>
          <w:sz w:val="20"/>
          <w:lang w:eastAsia="en-CA"/>
        </w:rPr>
        <w:t>MegumaGold Corp.</w:t>
      </w:r>
      <w:r w:rsidRPr="00F35544">
        <w:rPr>
          <w:i/>
          <w:iCs/>
          <w:sz w:val="20"/>
          <w:lang w:eastAsia="en-CA"/>
        </w:rPr>
        <w:t xml:space="preserve"> and/or its subsidiar</w:t>
      </w:r>
      <w:r w:rsidR="0082683D" w:rsidRPr="00F35544">
        <w:rPr>
          <w:i/>
          <w:iCs/>
          <w:sz w:val="20"/>
          <w:lang w:eastAsia="en-CA"/>
        </w:rPr>
        <w:t>ies</w:t>
      </w:r>
      <w:r w:rsidRPr="00F35544">
        <w:rPr>
          <w:i/>
          <w:iCs/>
          <w:sz w:val="20"/>
          <w:lang w:eastAsia="en-CA"/>
        </w:rPr>
        <w:t xml:space="preserve">, as it may apply. </w:t>
      </w:r>
    </w:p>
    <w:p w14:paraId="50830C79" w14:textId="77777777" w:rsidR="00A573C3" w:rsidRPr="00F35544" w:rsidRDefault="00A573C3" w:rsidP="00A573C3">
      <w:pPr>
        <w:adjustRightInd w:val="0"/>
        <w:jc w:val="both"/>
        <w:rPr>
          <w:b/>
          <w:caps/>
          <w:sz w:val="20"/>
        </w:rPr>
      </w:pPr>
    </w:p>
    <w:p w14:paraId="4E825852" w14:textId="77777777" w:rsidR="000928F5" w:rsidRPr="00F35544" w:rsidRDefault="000928F5" w:rsidP="00A573C3">
      <w:pPr>
        <w:adjustRightInd w:val="0"/>
        <w:jc w:val="both"/>
        <w:rPr>
          <w:b/>
          <w:caps/>
          <w:sz w:val="20"/>
        </w:rPr>
      </w:pPr>
      <w:r w:rsidRPr="00F35544">
        <w:rPr>
          <w:b/>
          <w:caps/>
          <w:sz w:val="20"/>
        </w:rPr>
        <w:t>OVERVIEW and DESCRIPTION of BUSINESS</w:t>
      </w:r>
    </w:p>
    <w:p w14:paraId="79831DDF" w14:textId="77777777" w:rsidR="00A573C3" w:rsidRPr="00F35544" w:rsidRDefault="00A573C3" w:rsidP="00A573C3">
      <w:pPr>
        <w:jc w:val="both"/>
        <w:rPr>
          <w:sz w:val="20"/>
        </w:rPr>
      </w:pPr>
    </w:p>
    <w:p w14:paraId="361DFD48" w14:textId="77777777" w:rsidR="000F4D05" w:rsidRPr="00F35544" w:rsidRDefault="000F4D05" w:rsidP="000F4D05">
      <w:pPr>
        <w:jc w:val="both"/>
        <w:rPr>
          <w:sz w:val="20"/>
        </w:rPr>
      </w:pPr>
      <w:r w:rsidRPr="00F35544">
        <w:rPr>
          <w:sz w:val="20"/>
        </w:rPr>
        <w:t xml:space="preserve">MegumaGold Corp. (“the Company” or “MegumaGold”) was incorporated pursuant to the Business Corporation Act (British Columbia). The Company is a listed issuer on the </w:t>
      </w:r>
      <w:r w:rsidR="00A86CE2" w:rsidRPr="00F35544">
        <w:rPr>
          <w:sz w:val="20"/>
        </w:rPr>
        <w:t xml:space="preserve">Canadian Securities Exchange (“CSE”) </w:t>
      </w:r>
      <w:r w:rsidRPr="00F35544">
        <w:rPr>
          <w:sz w:val="20"/>
        </w:rPr>
        <w:t xml:space="preserve">under the symbol "NSAU", the Frankfurt Stock Exchange under the symbol FWB: 2CM and on the United States OTC stock market’s OTC Pink, under the symbol NSAUF. The Company’s registered office is at </w:t>
      </w:r>
      <w:r w:rsidR="007703D2" w:rsidRPr="00F35544">
        <w:rPr>
          <w:sz w:val="20"/>
        </w:rPr>
        <w:t xml:space="preserve">789 West Pender Street, Suite 810, Vancouver, British Columbia, V6C 1H2, Canada </w:t>
      </w:r>
      <w:r w:rsidRPr="00F35544">
        <w:rPr>
          <w:sz w:val="20"/>
        </w:rPr>
        <w:t>and its head office is located at Suite 2630-1075 West Georgia Street, Vancouver, British Columbia, V6E 3C9, Canada.</w:t>
      </w:r>
    </w:p>
    <w:p w14:paraId="378A8401" w14:textId="77777777" w:rsidR="004069F6" w:rsidRPr="00F35544" w:rsidRDefault="004069F6" w:rsidP="00A573C3">
      <w:pPr>
        <w:jc w:val="both"/>
        <w:rPr>
          <w:sz w:val="20"/>
        </w:rPr>
      </w:pPr>
    </w:p>
    <w:p w14:paraId="57F6F3D4" w14:textId="77777777" w:rsidR="00D179EB" w:rsidRPr="00F35544" w:rsidRDefault="004B0CDF" w:rsidP="00A573C3">
      <w:pPr>
        <w:jc w:val="both"/>
        <w:rPr>
          <w:sz w:val="20"/>
        </w:rPr>
      </w:pPr>
      <w:r w:rsidRPr="00F35544">
        <w:rPr>
          <w:sz w:val="20"/>
        </w:rPr>
        <w:t>The Company is engaged in the business of acquiring, exploring and developing natural resource properties, with a focus on precious mineral properties</w:t>
      </w:r>
      <w:r w:rsidR="006A74EF" w:rsidRPr="00F35544">
        <w:rPr>
          <w:sz w:val="20"/>
        </w:rPr>
        <w:t>/projects which have the potential for both near-term cash flow and significant exploration upside potential</w:t>
      </w:r>
      <w:r w:rsidRPr="00F35544">
        <w:rPr>
          <w:sz w:val="20"/>
        </w:rPr>
        <w:t>.</w:t>
      </w:r>
      <w:r w:rsidR="006A74EF" w:rsidRPr="00F35544">
        <w:rPr>
          <w:sz w:val="20"/>
        </w:rPr>
        <w:t xml:space="preserve"> </w:t>
      </w:r>
      <w:r w:rsidR="00760865" w:rsidRPr="00F35544">
        <w:rPr>
          <w:sz w:val="20"/>
        </w:rPr>
        <w:t xml:space="preserve"> </w:t>
      </w:r>
      <w:r w:rsidRPr="00F35544">
        <w:rPr>
          <w:sz w:val="20"/>
        </w:rPr>
        <w:t xml:space="preserve">The Company is considered to be in the exploration stage as it has not placed any mineral properties into production. </w:t>
      </w:r>
    </w:p>
    <w:p w14:paraId="37F4E136" w14:textId="77777777" w:rsidR="000928F5" w:rsidRPr="00F35544" w:rsidRDefault="000928F5" w:rsidP="00117152">
      <w:pPr>
        <w:jc w:val="both"/>
        <w:rPr>
          <w:sz w:val="20"/>
        </w:rPr>
      </w:pPr>
      <w:r w:rsidRPr="00F35544">
        <w:rPr>
          <w:sz w:val="20"/>
        </w:rPr>
        <w:t xml:space="preserve"> </w:t>
      </w:r>
    </w:p>
    <w:p w14:paraId="48709C40" w14:textId="77777777" w:rsidR="00E13B32" w:rsidRPr="004427A8" w:rsidRDefault="00E13B32" w:rsidP="00E13B32">
      <w:pPr>
        <w:adjustRightInd w:val="0"/>
        <w:jc w:val="both"/>
        <w:rPr>
          <w:b/>
          <w:caps/>
          <w:sz w:val="20"/>
        </w:rPr>
      </w:pPr>
      <w:r w:rsidRPr="004427A8">
        <w:rPr>
          <w:b/>
          <w:caps/>
          <w:sz w:val="20"/>
        </w:rPr>
        <w:t>CORPORATE DEVELOPMENTS AND SIGNIFICANT TRANSACTIONS AND FACTORS AFFECTING RESULTS OF OPERATIONS</w:t>
      </w:r>
    </w:p>
    <w:p w14:paraId="23270F9B" w14:textId="77777777" w:rsidR="00E13B32" w:rsidRDefault="00E13B32" w:rsidP="00E13B32">
      <w:pPr>
        <w:autoSpaceDE w:val="0"/>
        <w:autoSpaceDN w:val="0"/>
        <w:adjustRightInd w:val="0"/>
        <w:jc w:val="both"/>
        <w:rPr>
          <w:sz w:val="20"/>
        </w:rPr>
      </w:pPr>
    </w:p>
    <w:p w14:paraId="2C8E644F" w14:textId="77777777" w:rsidR="006C4BB1" w:rsidRPr="006C4BB1" w:rsidRDefault="006C4BB1" w:rsidP="006C4BB1">
      <w:pPr>
        <w:autoSpaceDE w:val="0"/>
        <w:autoSpaceDN w:val="0"/>
        <w:adjustRightInd w:val="0"/>
        <w:spacing w:after="120"/>
        <w:jc w:val="both"/>
        <w:rPr>
          <w:b/>
          <w:sz w:val="20"/>
        </w:rPr>
      </w:pPr>
      <w:r w:rsidRPr="006C4BB1">
        <w:rPr>
          <w:b/>
          <w:sz w:val="20"/>
        </w:rPr>
        <w:t>Proposed Transaction</w:t>
      </w:r>
      <w:r>
        <w:rPr>
          <w:b/>
          <w:sz w:val="20"/>
        </w:rPr>
        <w:t xml:space="preserve"> – Osprey Gold Development Ltd</w:t>
      </w:r>
      <w:r w:rsidRPr="006C4BB1">
        <w:rPr>
          <w:b/>
          <w:sz w:val="20"/>
        </w:rPr>
        <w:t>:</w:t>
      </w:r>
    </w:p>
    <w:p w14:paraId="6DAAEA9C" w14:textId="6EDF3EB9" w:rsidR="008645C7" w:rsidRPr="006C3A59" w:rsidRDefault="004159F4" w:rsidP="0042580B">
      <w:pPr>
        <w:spacing w:after="160"/>
        <w:jc w:val="both"/>
        <w:rPr>
          <w:sz w:val="20"/>
        </w:rPr>
      </w:pPr>
      <w:r>
        <w:rPr>
          <w:sz w:val="20"/>
        </w:rPr>
        <w:t xml:space="preserve">On June </w:t>
      </w:r>
      <w:r w:rsidR="00F71D92">
        <w:rPr>
          <w:sz w:val="20"/>
        </w:rPr>
        <w:t>8</w:t>
      </w:r>
      <w:r>
        <w:rPr>
          <w:sz w:val="20"/>
        </w:rPr>
        <w:t>, 2020, t</w:t>
      </w:r>
      <w:r w:rsidR="008645C7">
        <w:rPr>
          <w:sz w:val="20"/>
        </w:rPr>
        <w:t xml:space="preserve">he Company signed a Definitive Agreement with Osprey Gold Development Ltd.  </w:t>
      </w:r>
      <w:r w:rsidR="008645C7" w:rsidRPr="006C3A59">
        <w:rPr>
          <w:sz w:val="20"/>
        </w:rPr>
        <w:t xml:space="preserve">Pursuant to the terms of the </w:t>
      </w:r>
      <w:r w:rsidR="008645C7">
        <w:rPr>
          <w:sz w:val="20"/>
        </w:rPr>
        <w:t>Definitive A</w:t>
      </w:r>
      <w:r w:rsidR="008645C7" w:rsidRPr="006C3A59">
        <w:rPr>
          <w:sz w:val="20"/>
        </w:rPr>
        <w:t xml:space="preserve">rrangement </w:t>
      </w:r>
      <w:r w:rsidR="008645C7">
        <w:rPr>
          <w:sz w:val="20"/>
        </w:rPr>
        <w:t>A</w:t>
      </w:r>
      <w:r w:rsidR="008645C7" w:rsidRPr="006C3A59">
        <w:rPr>
          <w:sz w:val="20"/>
        </w:rPr>
        <w:t xml:space="preserve">greement, </w:t>
      </w:r>
      <w:r w:rsidR="008645C7">
        <w:rPr>
          <w:sz w:val="20"/>
        </w:rPr>
        <w:t>the Company</w:t>
      </w:r>
      <w:r w:rsidR="008645C7" w:rsidRPr="006C3A59">
        <w:rPr>
          <w:sz w:val="20"/>
        </w:rPr>
        <w:t xml:space="preserve"> will acquire all of the issued and outstanding shares of Osprey. Each shareholder of Osprey will receive such number of common shares of </w:t>
      </w:r>
      <w:r w:rsidR="008645C7">
        <w:rPr>
          <w:sz w:val="20"/>
        </w:rPr>
        <w:t>the Company</w:t>
      </w:r>
      <w:r w:rsidR="008645C7" w:rsidRPr="006C3A59">
        <w:rPr>
          <w:sz w:val="20"/>
        </w:rPr>
        <w:t xml:space="preserve"> as is equal to the product of the number of Osprey shares held by such shareholder at an exchange ratio which equals one</w:t>
      </w:r>
      <w:r w:rsidR="00786D71">
        <w:rPr>
          <w:sz w:val="20"/>
        </w:rPr>
        <w:t xml:space="preserve"> of</w:t>
      </w:r>
      <w:r w:rsidR="008645C7" w:rsidRPr="006C3A59">
        <w:rPr>
          <w:sz w:val="20"/>
        </w:rPr>
        <w:t xml:space="preserve"> </w:t>
      </w:r>
      <w:r w:rsidR="008645C7">
        <w:rPr>
          <w:sz w:val="20"/>
        </w:rPr>
        <w:t>the Company</w:t>
      </w:r>
      <w:r w:rsidR="000854FE">
        <w:rPr>
          <w:sz w:val="20"/>
        </w:rPr>
        <w:t>’s</w:t>
      </w:r>
      <w:r w:rsidR="008645C7" w:rsidRPr="006C3A59">
        <w:rPr>
          <w:sz w:val="20"/>
        </w:rPr>
        <w:t xml:space="preserve"> share</w:t>
      </w:r>
      <w:r w:rsidR="000854FE">
        <w:rPr>
          <w:sz w:val="20"/>
        </w:rPr>
        <w:t>s</w:t>
      </w:r>
      <w:r w:rsidR="008645C7" w:rsidRPr="006C3A59">
        <w:rPr>
          <w:sz w:val="20"/>
        </w:rPr>
        <w:t xml:space="preserve"> per two Osprey shares outstanding at the closing of the transaction.</w:t>
      </w:r>
    </w:p>
    <w:p w14:paraId="50F7608D" w14:textId="77777777" w:rsidR="008645C7" w:rsidRPr="006C3A59" w:rsidRDefault="008645C7" w:rsidP="0042580B">
      <w:pPr>
        <w:spacing w:after="160"/>
        <w:jc w:val="both"/>
        <w:rPr>
          <w:sz w:val="20"/>
        </w:rPr>
      </w:pPr>
      <w:r w:rsidRPr="006C3A59">
        <w:rPr>
          <w:sz w:val="20"/>
        </w:rPr>
        <w:t xml:space="preserve">The arrangement agreement provides that unexercised Osprey options and share purchase warrants will be assumed by </w:t>
      </w:r>
      <w:r>
        <w:rPr>
          <w:sz w:val="20"/>
        </w:rPr>
        <w:t>the Company</w:t>
      </w:r>
      <w:r w:rsidRPr="006C3A59">
        <w:rPr>
          <w:sz w:val="20"/>
        </w:rPr>
        <w:t xml:space="preserve"> and will: (i) remain outstanding for their full term and (ii), following the closing date of the transaction, entitle the holder thereof to acquire </w:t>
      </w:r>
      <w:r>
        <w:rPr>
          <w:sz w:val="20"/>
        </w:rPr>
        <w:t>the Company</w:t>
      </w:r>
      <w:r w:rsidRPr="006C3A59">
        <w:rPr>
          <w:sz w:val="20"/>
        </w:rPr>
        <w:t xml:space="preserve"> shares in lieu of Osprey shares, in such number and at such exercise price as shall be adjusted based on the exchange ratio inherent in the transaction, and otherwise on the same terms and conditions as existed prior to the transaction.</w:t>
      </w:r>
    </w:p>
    <w:p w14:paraId="3D3FE10E" w14:textId="77777777" w:rsidR="008645C7" w:rsidRPr="006C3A59" w:rsidRDefault="008645C7" w:rsidP="0042580B">
      <w:pPr>
        <w:spacing w:after="160"/>
        <w:jc w:val="both"/>
        <w:rPr>
          <w:sz w:val="20"/>
        </w:rPr>
      </w:pPr>
      <w:r w:rsidRPr="006C3A59">
        <w:rPr>
          <w:sz w:val="20"/>
        </w:rPr>
        <w:t>Osprey will have the right to appoint two members to the board of directors of the resulting issuer, with the total number of members of such board of directors to be initially set at five. Osprey shall also contribute management personnel to the resulting issuer.</w:t>
      </w:r>
    </w:p>
    <w:p w14:paraId="56A9BC23" w14:textId="77777777" w:rsidR="006C4BB1" w:rsidRDefault="006C4BB1" w:rsidP="006C4BB1">
      <w:pPr>
        <w:ind w:left="720"/>
        <w:jc w:val="both"/>
        <w:rPr>
          <w:sz w:val="20"/>
        </w:rPr>
      </w:pPr>
    </w:p>
    <w:p w14:paraId="13EB6B11" w14:textId="3CAE569C" w:rsidR="00254944" w:rsidRDefault="008645C7" w:rsidP="00254944">
      <w:pPr>
        <w:adjustRightInd w:val="0"/>
        <w:jc w:val="both"/>
        <w:rPr>
          <w:b/>
          <w:caps/>
          <w:sz w:val="20"/>
        </w:rPr>
      </w:pPr>
      <w:r>
        <w:rPr>
          <w:sz w:val="20"/>
        </w:rPr>
        <w:br w:type="page"/>
      </w:r>
      <w:r w:rsidRPr="004427A8">
        <w:rPr>
          <w:b/>
          <w:caps/>
          <w:sz w:val="20"/>
        </w:rPr>
        <w:lastRenderedPageBreak/>
        <w:t>CORPORATE DEVELOPMENTS AND SIGNIFICANT TRANSACTIONS AND FACTORS AFFECTING RESULTS OF OPERATIONS</w:t>
      </w:r>
      <w:r>
        <w:rPr>
          <w:b/>
          <w:caps/>
          <w:sz w:val="20"/>
        </w:rPr>
        <w:t xml:space="preserve"> (CONTINUED)</w:t>
      </w:r>
    </w:p>
    <w:p w14:paraId="6A4FF2D2" w14:textId="77777777" w:rsidR="00965C9A" w:rsidRPr="00254944" w:rsidRDefault="00965C9A" w:rsidP="00254944">
      <w:pPr>
        <w:adjustRightInd w:val="0"/>
        <w:jc w:val="both"/>
      </w:pPr>
    </w:p>
    <w:p w14:paraId="4EDCE448" w14:textId="1E93EEE1" w:rsidR="006C4BB1" w:rsidRDefault="006C4BB1" w:rsidP="00D7564D">
      <w:pPr>
        <w:numPr>
          <w:ilvl w:val="3"/>
          <w:numId w:val="24"/>
        </w:numPr>
        <w:spacing w:after="160"/>
        <w:ind w:left="720"/>
        <w:jc w:val="both"/>
        <w:rPr>
          <w:sz w:val="20"/>
        </w:rPr>
      </w:pPr>
      <w:r>
        <w:rPr>
          <w:sz w:val="20"/>
        </w:rPr>
        <w:t>On May 8, 2020, the Company entered into a Promissory Note (“Promissory Note”) o</w:t>
      </w:r>
      <w:r w:rsidR="000854FE">
        <w:rPr>
          <w:sz w:val="20"/>
        </w:rPr>
        <w:t>f</w:t>
      </w:r>
      <w:r>
        <w:rPr>
          <w:sz w:val="20"/>
        </w:rPr>
        <w:t xml:space="preserve"> $75,000 with Osprey. The Promissory Note is non-interest bearing, due on demand and </w:t>
      </w:r>
      <w:r w:rsidR="000854FE">
        <w:rPr>
          <w:sz w:val="20"/>
        </w:rPr>
        <w:t xml:space="preserve">is </w:t>
      </w:r>
      <w:r>
        <w:rPr>
          <w:sz w:val="20"/>
        </w:rPr>
        <w:t>unsecured.</w:t>
      </w:r>
    </w:p>
    <w:p w14:paraId="2C3FFB37" w14:textId="4C67A5E6" w:rsidR="00254944" w:rsidRDefault="00254944" w:rsidP="00D7564D">
      <w:pPr>
        <w:numPr>
          <w:ilvl w:val="3"/>
          <w:numId w:val="24"/>
        </w:numPr>
        <w:spacing w:after="160"/>
        <w:ind w:left="720"/>
        <w:jc w:val="both"/>
        <w:rPr>
          <w:sz w:val="20"/>
        </w:rPr>
      </w:pPr>
      <w:r>
        <w:rPr>
          <w:sz w:val="20"/>
        </w:rPr>
        <w:t xml:space="preserve">On May 14, 2020 the Company completed and filed </w:t>
      </w:r>
      <w:proofErr w:type="gramStart"/>
      <w:r>
        <w:rPr>
          <w:sz w:val="20"/>
        </w:rPr>
        <w:t>a 43-101 Property Technical Report</w:t>
      </w:r>
      <w:proofErr w:type="gramEnd"/>
      <w:r>
        <w:rPr>
          <w:sz w:val="20"/>
        </w:rPr>
        <w:t xml:space="preserve">. </w:t>
      </w:r>
    </w:p>
    <w:p w14:paraId="0B2E6B56" w14:textId="51604B81" w:rsidR="006C4BB1" w:rsidRDefault="006C4BB1" w:rsidP="006C4BB1">
      <w:pPr>
        <w:numPr>
          <w:ilvl w:val="0"/>
          <w:numId w:val="24"/>
        </w:numPr>
        <w:spacing w:after="160"/>
        <w:jc w:val="both"/>
        <w:rPr>
          <w:sz w:val="20"/>
        </w:rPr>
      </w:pPr>
      <w:r>
        <w:rPr>
          <w:sz w:val="20"/>
        </w:rPr>
        <w:t>On</w:t>
      </w:r>
      <w:r w:rsidRPr="00473E97">
        <w:rPr>
          <w:sz w:val="20"/>
        </w:rPr>
        <w:t xml:space="preserve"> June 3</w:t>
      </w:r>
      <w:r>
        <w:rPr>
          <w:sz w:val="20"/>
        </w:rPr>
        <w:t>,</w:t>
      </w:r>
      <w:r w:rsidRPr="00473E97">
        <w:rPr>
          <w:sz w:val="20"/>
        </w:rPr>
        <w:t xml:space="preserve"> 2020</w:t>
      </w:r>
      <w:r>
        <w:rPr>
          <w:sz w:val="20"/>
        </w:rPr>
        <w:t xml:space="preserve">, the Company </w:t>
      </w:r>
      <w:r w:rsidRPr="00473E97">
        <w:rPr>
          <w:sz w:val="20"/>
        </w:rPr>
        <w:t>dis</w:t>
      </w:r>
      <w:r w:rsidR="00A64697">
        <w:rPr>
          <w:sz w:val="20"/>
        </w:rPr>
        <w:t>posed</w:t>
      </w:r>
      <w:r>
        <w:rPr>
          <w:sz w:val="20"/>
        </w:rPr>
        <w:t xml:space="preserve"> </w:t>
      </w:r>
      <w:r w:rsidRPr="00473E97">
        <w:rPr>
          <w:sz w:val="20"/>
        </w:rPr>
        <w:t>of 13,100,000 share purchase warrants (“Warrants”) of Osprey</w:t>
      </w:r>
      <w:r>
        <w:rPr>
          <w:sz w:val="20"/>
        </w:rPr>
        <w:t xml:space="preserve"> </w:t>
      </w:r>
      <w:r w:rsidRPr="00473E97">
        <w:rPr>
          <w:sz w:val="20"/>
        </w:rPr>
        <w:t>through private transactions with two arm’s-length parties</w:t>
      </w:r>
      <w:r>
        <w:rPr>
          <w:sz w:val="20"/>
        </w:rPr>
        <w:t xml:space="preserve">. </w:t>
      </w:r>
      <w:r w:rsidRPr="00473E97">
        <w:rPr>
          <w:sz w:val="20"/>
        </w:rPr>
        <w:t xml:space="preserve">Prior to the Dispositions, </w:t>
      </w:r>
      <w:r>
        <w:rPr>
          <w:sz w:val="20"/>
        </w:rPr>
        <w:t>the Company</w:t>
      </w:r>
      <w:r w:rsidRPr="00473E97">
        <w:rPr>
          <w:sz w:val="20"/>
        </w:rPr>
        <w:t xml:space="preserve"> beneficially owned 6,423,000 common shares (“Shares”) and</w:t>
      </w:r>
      <w:r>
        <w:rPr>
          <w:sz w:val="20"/>
        </w:rPr>
        <w:t xml:space="preserve"> </w:t>
      </w:r>
      <w:r w:rsidRPr="00473E97">
        <w:rPr>
          <w:sz w:val="20"/>
        </w:rPr>
        <w:t xml:space="preserve">13,100,000 Warrants of </w:t>
      </w:r>
      <w:r>
        <w:rPr>
          <w:sz w:val="20"/>
        </w:rPr>
        <w:t>Osprey</w:t>
      </w:r>
      <w:r w:rsidRPr="00473E97">
        <w:rPr>
          <w:sz w:val="20"/>
        </w:rPr>
        <w:t>.</w:t>
      </w:r>
      <w:r>
        <w:rPr>
          <w:sz w:val="20"/>
        </w:rPr>
        <w:t xml:space="preserve"> </w:t>
      </w:r>
      <w:r w:rsidR="00F71D92">
        <w:rPr>
          <w:sz w:val="20"/>
        </w:rPr>
        <w:t xml:space="preserve"> During the period ended June 30, 2020, the Company sold 3,177,000 common shares </w:t>
      </w:r>
      <w:r w:rsidR="00306326">
        <w:rPr>
          <w:sz w:val="20"/>
        </w:rPr>
        <w:t>of Osprey for gross proceeds of $192,443 and recognized a gain on sale of $49,478.</w:t>
      </w:r>
    </w:p>
    <w:p w14:paraId="0ED8792B" w14:textId="63AE6F8D" w:rsidR="00E13B32" w:rsidRPr="004427A8" w:rsidRDefault="008645C7" w:rsidP="00E13B32">
      <w:pPr>
        <w:numPr>
          <w:ilvl w:val="0"/>
          <w:numId w:val="24"/>
        </w:numPr>
        <w:spacing w:after="120"/>
        <w:jc w:val="both"/>
        <w:rPr>
          <w:bCs/>
          <w:sz w:val="20"/>
          <w:u w:val="single"/>
          <w:lang w:val="en-CA"/>
        </w:rPr>
      </w:pPr>
      <w:r>
        <w:rPr>
          <w:bCs/>
          <w:sz w:val="20"/>
          <w:u w:val="single"/>
          <w:lang w:val="en-CA"/>
        </w:rPr>
        <w:t>T</w:t>
      </w:r>
      <w:r w:rsidR="00E13B32" w:rsidRPr="004427A8">
        <w:rPr>
          <w:sz w:val="20"/>
        </w:rPr>
        <w:t xml:space="preserve">he Company </w:t>
      </w:r>
      <w:r w:rsidR="001C0047" w:rsidRPr="004427A8">
        <w:rPr>
          <w:sz w:val="20"/>
        </w:rPr>
        <w:t>com</w:t>
      </w:r>
      <w:r w:rsidR="001C0047">
        <w:rPr>
          <w:sz w:val="20"/>
        </w:rPr>
        <w:t>pleted regional target delineation</w:t>
      </w:r>
      <w:r w:rsidR="001C0047" w:rsidRPr="004427A8">
        <w:rPr>
          <w:sz w:val="20"/>
        </w:rPr>
        <w:t xml:space="preserve"> </w:t>
      </w:r>
      <w:r w:rsidR="00E13B32" w:rsidRPr="004427A8">
        <w:rPr>
          <w:sz w:val="20"/>
        </w:rPr>
        <w:t xml:space="preserve">field programs </w:t>
      </w:r>
      <w:r w:rsidR="001C0047">
        <w:rPr>
          <w:sz w:val="20"/>
        </w:rPr>
        <w:t xml:space="preserve">in the </w:t>
      </w:r>
      <w:r w:rsidR="00E13B32" w:rsidRPr="004427A8">
        <w:rPr>
          <w:sz w:val="20"/>
        </w:rPr>
        <w:t>Eastern Nova Scotia gold</w:t>
      </w:r>
      <w:r w:rsidR="00E13B32">
        <w:rPr>
          <w:sz w:val="20"/>
        </w:rPr>
        <w:t xml:space="preserve"> </w:t>
      </w:r>
      <w:r w:rsidR="00E13B32" w:rsidRPr="004427A8">
        <w:rPr>
          <w:sz w:val="20"/>
        </w:rPr>
        <w:t>field</w:t>
      </w:r>
      <w:r w:rsidR="001C0047">
        <w:rPr>
          <w:sz w:val="20"/>
        </w:rPr>
        <w:t>s which included a g</w:t>
      </w:r>
      <w:r w:rsidR="00E13B32" w:rsidRPr="004427A8">
        <w:rPr>
          <w:sz w:val="20"/>
        </w:rPr>
        <w:t>round geophysical</w:t>
      </w:r>
      <w:r w:rsidR="001C0047">
        <w:rPr>
          <w:sz w:val="20"/>
        </w:rPr>
        <w:t xml:space="preserve"> survey,</w:t>
      </w:r>
      <w:r w:rsidR="00E13B32" w:rsidRPr="004427A8">
        <w:rPr>
          <w:sz w:val="20"/>
        </w:rPr>
        <w:t xml:space="preserve"> geochemical (“Till”)</w:t>
      </w:r>
      <w:r w:rsidR="00E13B32">
        <w:rPr>
          <w:sz w:val="20"/>
        </w:rPr>
        <w:t xml:space="preserve"> and soil</w:t>
      </w:r>
      <w:r w:rsidR="00E13B32" w:rsidRPr="004427A8">
        <w:rPr>
          <w:sz w:val="20"/>
        </w:rPr>
        <w:t xml:space="preserve"> surveys</w:t>
      </w:r>
      <w:r w:rsidR="00E13B32">
        <w:rPr>
          <w:sz w:val="20"/>
        </w:rPr>
        <w:t xml:space="preserve"> along with induced polarization</w:t>
      </w:r>
      <w:r w:rsidR="00E13B32" w:rsidRPr="004427A8">
        <w:rPr>
          <w:sz w:val="20"/>
        </w:rPr>
        <w:t xml:space="preserve"> </w:t>
      </w:r>
      <w:r w:rsidR="00E13B32">
        <w:rPr>
          <w:sz w:val="20"/>
        </w:rPr>
        <w:t xml:space="preserve">(IP) </w:t>
      </w:r>
      <w:r w:rsidR="00E13B32" w:rsidRPr="004427A8">
        <w:rPr>
          <w:sz w:val="20"/>
        </w:rPr>
        <w:t>The current till program include</w:t>
      </w:r>
      <w:r w:rsidR="001C0047">
        <w:rPr>
          <w:sz w:val="20"/>
        </w:rPr>
        <w:t>d</w:t>
      </w:r>
      <w:r w:rsidR="00E13B32" w:rsidRPr="004427A8">
        <w:rPr>
          <w:sz w:val="20"/>
        </w:rPr>
        <w:t xml:space="preserve"> 250 sample sites, in conjunction with the tills sampling work the </w:t>
      </w:r>
      <w:r w:rsidR="001C0047">
        <w:rPr>
          <w:sz w:val="20"/>
        </w:rPr>
        <w:t xml:space="preserve">a </w:t>
      </w:r>
      <w:r w:rsidR="00E13B32" w:rsidRPr="004427A8">
        <w:rPr>
          <w:sz w:val="20"/>
        </w:rPr>
        <w:t xml:space="preserve">ground VLF-EM program </w:t>
      </w:r>
      <w:r w:rsidR="00E13B32">
        <w:rPr>
          <w:sz w:val="20"/>
        </w:rPr>
        <w:t>was</w:t>
      </w:r>
      <w:r w:rsidR="00E13B32" w:rsidRPr="004427A8">
        <w:rPr>
          <w:sz w:val="20"/>
        </w:rPr>
        <w:t xml:space="preserve"> conducted by use of portable transmitter station and </w:t>
      </w:r>
      <w:r w:rsidR="001C0047">
        <w:rPr>
          <w:sz w:val="20"/>
        </w:rPr>
        <w:t>was</w:t>
      </w:r>
      <w:r w:rsidR="00E13B32" w:rsidRPr="004427A8">
        <w:rPr>
          <w:sz w:val="20"/>
        </w:rPr>
        <w:t xml:space="preserve"> designed to cover </w:t>
      </w:r>
      <w:r w:rsidR="00E13B32">
        <w:rPr>
          <w:sz w:val="20"/>
        </w:rPr>
        <w:t>80</w:t>
      </w:r>
      <w:r w:rsidR="00E13B32" w:rsidRPr="004427A8">
        <w:rPr>
          <w:sz w:val="20"/>
        </w:rPr>
        <w:t xml:space="preserve">km lines. </w:t>
      </w:r>
      <w:r w:rsidR="00E13B32">
        <w:rPr>
          <w:sz w:val="20"/>
        </w:rPr>
        <w:t>Soil geochemical work include</w:t>
      </w:r>
      <w:r w:rsidR="001C0047">
        <w:rPr>
          <w:sz w:val="20"/>
        </w:rPr>
        <w:t>d</w:t>
      </w:r>
      <w:r w:rsidR="00E13B32">
        <w:rPr>
          <w:sz w:val="20"/>
        </w:rPr>
        <w:t xml:space="preserve"> 1,100 sample sites and </w:t>
      </w:r>
      <w:r w:rsidR="001C0047">
        <w:rPr>
          <w:sz w:val="20"/>
        </w:rPr>
        <w:t>was</w:t>
      </w:r>
      <w:r w:rsidR="00E13B32">
        <w:rPr>
          <w:sz w:val="20"/>
        </w:rPr>
        <w:t xml:space="preserve"> completed over an IP grid covering 25 km lines</w:t>
      </w:r>
      <w:r w:rsidR="00E346C6">
        <w:rPr>
          <w:sz w:val="20"/>
        </w:rPr>
        <w:t>.</w:t>
      </w:r>
    </w:p>
    <w:p w14:paraId="09A0D951" w14:textId="4F672686" w:rsidR="006C4BB1" w:rsidRDefault="000F60B8" w:rsidP="006C4BB1">
      <w:pPr>
        <w:numPr>
          <w:ilvl w:val="0"/>
          <w:numId w:val="32"/>
        </w:numPr>
        <w:jc w:val="both"/>
        <w:rPr>
          <w:bCs/>
          <w:sz w:val="20"/>
          <w:lang w:val="en-CA"/>
        </w:rPr>
      </w:pPr>
      <w:r w:rsidRPr="000D3834">
        <w:rPr>
          <w:bCs/>
          <w:sz w:val="20"/>
          <w:lang w:val="en-CA"/>
        </w:rPr>
        <w:t xml:space="preserve">In November of 2019 the </w:t>
      </w:r>
      <w:r w:rsidR="000854FE">
        <w:rPr>
          <w:bCs/>
          <w:sz w:val="20"/>
          <w:lang w:val="en-CA"/>
        </w:rPr>
        <w:t>C</w:t>
      </w:r>
      <w:r w:rsidRPr="000D3834">
        <w:rPr>
          <w:bCs/>
          <w:sz w:val="20"/>
          <w:lang w:val="en-CA"/>
        </w:rPr>
        <w:t xml:space="preserve">ompany elected not to exercise its option on its Ecum Secum </w:t>
      </w:r>
      <w:r w:rsidR="006C4BB1">
        <w:rPr>
          <w:bCs/>
          <w:sz w:val="20"/>
          <w:lang w:val="en-CA"/>
        </w:rPr>
        <w:t>and Higgins</w:t>
      </w:r>
      <w:r w:rsidR="001C0047">
        <w:rPr>
          <w:bCs/>
          <w:sz w:val="20"/>
          <w:lang w:val="en-CA"/>
        </w:rPr>
        <w:t xml:space="preserve"> Brooke</w:t>
      </w:r>
      <w:r w:rsidR="006C4BB1">
        <w:rPr>
          <w:bCs/>
          <w:sz w:val="20"/>
          <w:lang w:val="en-CA"/>
        </w:rPr>
        <w:t xml:space="preserve"> project</w:t>
      </w:r>
      <w:r w:rsidR="001C0047">
        <w:rPr>
          <w:bCs/>
          <w:sz w:val="20"/>
          <w:lang w:val="en-CA"/>
        </w:rPr>
        <w:t>s</w:t>
      </w:r>
      <w:r w:rsidR="006C4BB1">
        <w:rPr>
          <w:bCs/>
          <w:sz w:val="20"/>
          <w:lang w:val="en-CA"/>
        </w:rPr>
        <w:t xml:space="preserve"> as the Company continues to pursue key target areas in Nova Scotia</w:t>
      </w:r>
      <w:r w:rsidRPr="000D3834">
        <w:rPr>
          <w:bCs/>
          <w:sz w:val="20"/>
          <w:lang w:val="en-CA"/>
        </w:rPr>
        <w:t>.</w:t>
      </w:r>
    </w:p>
    <w:p w14:paraId="7ABDB185" w14:textId="77777777" w:rsidR="00771D20" w:rsidRPr="00F35544" w:rsidRDefault="006C4BB1" w:rsidP="006C4BB1">
      <w:pPr>
        <w:ind w:left="720"/>
        <w:jc w:val="both"/>
        <w:rPr>
          <w:sz w:val="20"/>
        </w:rPr>
      </w:pPr>
      <w:r w:rsidRPr="000D3834" w:rsidDel="006C4BB1">
        <w:rPr>
          <w:bCs/>
          <w:sz w:val="20"/>
          <w:lang w:val="en-CA"/>
        </w:rPr>
        <w:t xml:space="preserve"> </w:t>
      </w:r>
    </w:p>
    <w:p w14:paraId="5A5024E4" w14:textId="60CD93BF" w:rsidR="00E13B32" w:rsidRDefault="00E13B32" w:rsidP="00E13B32">
      <w:pPr>
        <w:numPr>
          <w:ilvl w:val="0"/>
          <w:numId w:val="24"/>
        </w:numPr>
        <w:adjustRightInd w:val="0"/>
        <w:jc w:val="both"/>
        <w:rPr>
          <w:spacing w:val="-2"/>
          <w:sz w:val="20"/>
        </w:rPr>
      </w:pPr>
      <w:r>
        <w:rPr>
          <w:spacing w:val="-2"/>
          <w:sz w:val="20"/>
        </w:rPr>
        <w:t xml:space="preserve">On November 29, 2019, the Company announced additional soil geochemical results with elevated arsenic and gold values for </w:t>
      </w:r>
      <w:r w:rsidR="00586BBF">
        <w:rPr>
          <w:spacing w:val="-2"/>
          <w:sz w:val="20"/>
        </w:rPr>
        <w:t xml:space="preserve">its </w:t>
      </w:r>
      <w:r>
        <w:rPr>
          <w:spacing w:val="-2"/>
          <w:sz w:val="20"/>
        </w:rPr>
        <w:t>Touquoy West Project. The Company has identified large gold-arsenic anomalies trending along the west extension of the Moose River anticline which hosts St. Barbara Ltd.’s open pit Touquoy Gold Mine. The preliminary results define three well- developed soil anomalies with elevated values ranging from 5 to 34 parts per billion within a halo of anomalous arsenic values ranging from 30 and 900 parts per million. The Company intends to continue to review and conduct work on this project.</w:t>
      </w:r>
    </w:p>
    <w:p w14:paraId="4FA4161E" w14:textId="77777777" w:rsidR="00E13B32" w:rsidRDefault="00E13B32" w:rsidP="00E13B32">
      <w:pPr>
        <w:pStyle w:val="ListParagraph"/>
        <w:rPr>
          <w:spacing w:val="-2"/>
          <w:sz w:val="20"/>
        </w:rPr>
      </w:pPr>
    </w:p>
    <w:p w14:paraId="64F16E30" w14:textId="77777777" w:rsidR="00E13B32" w:rsidRDefault="00E13B32" w:rsidP="00E13B32">
      <w:pPr>
        <w:numPr>
          <w:ilvl w:val="0"/>
          <w:numId w:val="24"/>
        </w:numPr>
        <w:adjustRightInd w:val="0"/>
        <w:jc w:val="both"/>
        <w:rPr>
          <w:spacing w:val="-2"/>
          <w:sz w:val="20"/>
        </w:rPr>
      </w:pPr>
      <w:r>
        <w:rPr>
          <w:spacing w:val="-2"/>
          <w:sz w:val="20"/>
        </w:rPr>
        <w:t xml:space="preserve">Pursuant to the promising results announced on November 29, 2019, the Company continues to review potential gold projects. The Company has been successful in defining large arsenic in soil trend that support elevated gold results and the Company is looking to continue evaluating projects west of Touquoy that is on </w:t>
      </w:r>
      <w:r w:rsidR="001C0047">
        <w:rPr>
          <w:spacing w:val="-2"/>
          <w:sz w:val="20"/>
        </w:rPr>
        <w:t xml:space="preserve">anticlinal </w:t>
      </w:r>
      <w:r>
        <w:rPr>
          <w:spacing w:val="-2"/>
          <w:sz w:val="20"/>
        </w:rPr>
        <w:t xml:space="preserve">strike </w:t>
      </w:r>
      <w:r w:rsidR="001C0047">
        <w:rPr>
          <w:spacing w:val="-2"/>
          <w:sz w:val="20"/>
        </w:rPr>
        <w:t>of</w:t>
      </w:r>
      <w:r>
        <w:rPr>
          <w:spacing w:val="-2"/>
          <w:sz w:val="20"/>
        </w:rPr>
        <w:t xml:space="preserve"> St. </w:t>
      </w:r>
      <w:proofErr w:type="spellStart"/>
      <w:r>
        <w:rPr>
          <w:spacing w:val="-2"/>
          <w:sz w:val="20"/>
        </w:rPr>
        <w:t>Barabara’s</w:t>
      </w:r>
      <w:proofErr w:type="spellEnd"/>
      <w:r>
        <w:rPr>
          <w:spacing w:val="-2"/>
          <w:sz w:val="20"/>
        </w:rPr>
        <w:t xml:space="preserve"> open pit mine. As a result, the Company entered into an option agreement with Genius Metals Inc. </w:t>
      </w:r>
    </w:p>
    <w:p w14:paraId="1D1D19DB" w14:textId="77777777" w:rsidR="00E13B32" w:rsidRDefault="00E13B32" w:rsidP="00E13B32">
      <w:pPr>
        <w:ind w:left="720"/>
        <w:jc w:val="both"/>
        <w:rPr>
          <w:bCs/>
          <w:sz w:val="20"/>
          <w:u w:val="single"/>
          <w:lang w:val="en-CA"/>
        </w:rPr>
      </w:pPr>
    </w:p>
    <w:p w14:paraId="0075A80D" w14:textId="77777777" w:rsidR="00E13B32" w:rsidRPr="00DD6B3F" w:rsidRDefault="00E13B32" w:rsidP="00E13B32">
      <w:pPr>
        <w:numPr>
          <w:ilvl w:val="0"/>
          <w:numId w:val="24"/>
        </w:numPr>
        <w:adjustRightInd w:val="0"/>
        <w:jc w:val="both"/>
        <w:rPr>
          <w:spacing w:val="-2"/>
          <w:sz w:val="20"/>
        </w:rPr>
      </w:pPr>
      <w:r w:rsidRPr="00DD6B3F">
        <w:rPr>
          <w:spacing w:val="-2"/>
          <w:sz w:val="20"/>
        </w:rPr>
        <w:t>On December 4, 2019, the Company entered into an option agreement (“Genius Option Agreement”) to explore and develop licenses 6 licenses covering 1,620 hectares in Nova Scotia</w:t>
      </w:r>
      <w:r>
        <w:rPr>
          <w:spacing w:val="-2"/>
          <w:sz w:val="20"/>
        </w:rPr>
        <w:t xml:space="preserve"> (“Property”)</w:t>
      </w:r>
      <w:r w:rsidRPr="00DD6B3F">
        <w:rPr>
          <w:spacing w:val="-2"/>
          <w:sz w:val="20"/>
        </w:rPr>
        <w:t>.  The Genius Option Agreement allows the Company to earn up to a 70% interest in 6 mining exploration licenses by satisfying the following conditions:</w:t>
      </w:r>
    </w:p>
    <w:p w14:paraId="3CBCA4C2" w14:textId="77777777" w:rsidR="00E13B32" w:rsidRDefault="00E13B32" w:rsidP="00E13B32">
      <w:pPr>
        <w:widowControl/>
        <w:rPr>
          <w:b/>
          <w:spacing w:val="-2"/>
          <w:sz w:val="20"/>
        </w:rPr>
      </w:pPr>
    </w:p>
    <w:p w14:paraId="2C097C7F" w14:textId="77777777" w:rsidR="00E13B32" w:rsidRPr="00965C9A" w:rsidRDefault="00E13B32" w:rsidP="00E13B32">
      <w:pPr>
        <w:pStyle w:val="ListParagraph"/>
        <w:widowControl/>
        <w:numPr>
          <w:ilvl w:val="0"/>
          <w:numId w:val="29"/>
        </w:numPr>
        <w:ind w:left="1440" w:hanging="630"/>
        <w:rPr>
          <w:b/>
          <w:spacing w:val="-2"/>
          <w:sz w:val="20"/>
        </w:rPr>
      </w:pPr>
      <w:r>
        <w:rPr>
          <w:spacing w:val="-2"/>
          <w:sz w:val="20"/>
        </w:rPr>
        <w:t xml:space="preserve"> Issue 250,000 common shares within 10 business days of signing the Genius Option Agreement (Issued);</w:t>
      </w:r>
    </w:p>
    <w:p w14:paraId="393422FE" w14:textId="77777777" w:rsidR="00965C9A" w:rsidRPr="00DD6B3F" w:rsidRDefault="00965C9A" w:rsidP="00965C9A">
      <w:pPr>
        <w:pStyle w:val="ListParagraph"/>
        <w:widowControl/>
        <w:ind w:left="1440"/>
        <w:rPr>
          <w:b/>
          <w:spacing w:val="-2"/>
          <w:sz w:val="20"/>
        </w:rPr>
      </w:pPr>
    </w:p>
    <w:p w14:paraId="02F9E729" w14:textId="77777777" w:rsidR="00E13B32" w:rsidRPr="00965C9A" w:rsidRDefault="00E13B32" w:rsidP="00E13B32">
      <w:pPr>
        <w:pStyle w:val="ListParagraph"/>
        <w:widowControl/>
        <w:numPr>
          <w:ilvl w:val="0"/>
          <w:numId w:val="29"/>
        </w:numPr>
        <w:ind w:left="1440" w:hanging="630"/>
        <w:rPr>
          <w:b/>
          <w:spacing w:val="-2"/>
          <w:sz w:val="20"/>
        </w:rPr>
      </w:pPr>
      <w:r>
        <w:rPr>
          <w:spacing w:val="-2"/>
          <w:sz w:val="20"/>
        </w:rPr>
        <w:t>Earn 49.9% interest upon incurring $100,000 in exploration work consisting of ground surveys and pre-drilling target work on or before the 18</w:t>
      </w:r>
      <w:r>
        <w:rPr>
          <w:spacing w:val="-2"/>
          <w:sz w:val="20"/>
          <w:vertAlign w:val="superscript"/>
        </w:rPr>
        <w:t xml:space="preserve"> </w:t>
      </w:r>
      <w:r>
        <w:rPr>
          <w:spacing w:val="-2"/>
          <w:sz w:val="20"/>
        </w:rPr>
        <w:t>month anniversary;</w:t>
      </w:r>
    </w:p>
    <w:p w14:paraId="202F3C9F" w14:textId="77777777" w:rsidR="00965C9A" w:rsidRPr="00DD6B3F" w:rsidRDefault="00965C9A" w:rsidP="00965C9A">
      <w:pPr>
        <w:pStyle w:val="ListParagraph"/>
        <w:widowControl/>
        <w:ind w:left="1440"/>
        <w:rPr>
          <w:b/>
          <w:spacing w:val="-2"/>
          <w:sz w:val="20"/>
        </w:rPr>
      </w:pPr>
    </w:p>
    <w:p w14:paraId="4C025569" w14:textId="05CC81C3" w:rsidR="003B5B64" w:rsidRDefault="00E13B32" w:rsidP="003B5B64">
      <w:pPr>
        <w:adjustRightInd w:val="0"/>
        <w:spacing w:after="120"/>
        <w:ind w:left="720"/>
        <w:jc w:val="both"/>
        <w:rPr>
          <w:spacing w:val="-2"/>
          <w:sz w:val="20"/>
        </w:rPr>
      </w:pPr>
      <w:r w:rsidRPr="003B5B64">
        <w:rPr>
          <w:spacing w:val="-2"/>
          <w:sz w:val="20"/>
        </w:rPr>
        <w:t>Earn 20.1% interest upon incurring $150,000 in exploration work, including a diamond drilling program on or before the 30 month anniversary.</w:t>
      </w:r>
      <w:r w:rsidR="003B5B64" w:rsidRPr="003B5B64">
        <w:rPr>
          <w:spacing w:val="-2"/>
          <w:sz w:val="20"/>
        </w:rPr>
        <w:t xml:space="preserve"> </w:t>
      </w:r>
      <w:r w:rsidR="003B5B64" w:rsidRPr="00DD6B3F">
        <w:rPr>
          <w:spacing w:val="-2"/>
          <w:sz w:val="20"/>
        </w:rPr>
        <w:t xml:space="preserve">Upon exercising the Genius Option Agreement in its entirety </w:t>
      </w:r>
      <w:r w:rsidR="003B5B64">
        <w:rPr>
          <w:spacing w:val="-2"/>
          <w:sz w:val="20"/>
        </w:rPr>
        <w:t>and earning</w:t>
      </w:r>
      <w:r w:rsidR="003B5B64" w:rsidRPr="00DD6B3F">
        <w:rPr>
          <w:spacing w:val="-2"/>
          <w:sz w:val="20"/>
        </w:rPr>
        <w:t xml:space="preserve"> 70% of the Property, Genius will have the option to convert the remaining 30% interest in the Property, into a 2% net smelter royalty.</w:t>
      </w:r>
    </w:p>
    <w:p w14:paraId="27C3460C" w14:textId="1093811A" w:rsidR="003B5B64" w:rsidRPr="003B5B64" w:rsidRDefault="003B5B64" w:rsidP="003B5B64">
      <w:pPr>
        <w:pStyle w:val="ListParagraph"/>
        <w:widowControl/>
        <w:adjustRightInd w:val="0"/>
        <w:spacing w:after="120"/>
        <w:jc w:val="both"/>
        <w:rPr>
          <w:spacing w:val="-2"/>
          <w:sz w:val="20"/>
        </w:rPr>
      </w:pPr>
    </w:p>
    <w:p w14:paraId="10D74136" w14:textId="77777777" w:rsidR="006B13BF" w:rsidRDefault="006B13BF" w:rsidP="00E13B32">
      <w:pPr>
        <w:adjustRightInd w:val="0"/>
        <w:spacing w:after="120"/>
        <w:ind w:left="720"/>
        <w:jc w:val="both"/>
        <w:rPr>
          <w:spacing w:val="-2"/>
          <w:sz w:val="20"/>
        </w:rPr>
      </w:pPr>
    </w:p>
    <w:p w14:paraId="71A51784" w14:textId="5D5F9188" w:rsidR="008645C7" w:rsidRDefault="008645C7" w:rsidP="008645C7">
      <w:pPr>
        <w:adjustRightInd w:val="0"/>
        <w:jc w:val="both"/>
        <w:rPr>
          <w:b/>
          <w:caps/>
          <w:sz w:val="20"/>
        </w:rPr>
      </w:pPr>
      <w:r w:rsidRPr="004427A8">
        <w:rPr>
          <w:b/>
          <w:caps/>
          <w:sz w:val="20"/>
        </w:rPr>
        <w:lastRenderedPageBreak/>
        <w:t>CORPORATE DEVELOPMENTS AND SIGNIFICANT TRANSACTIONS AND FACTORS AFFECTING RESULTS OF OPERATIONS</w:t>
      </w:r>
      <w:r>
        <w:rPr>
          <w:b/>
          <w:caps/>
          <w:sz w:val="20"/>
        </w:rPr>
        <w:t xml:space="preserve"> (CONTINUED)</w:t>
      </w:r>
    </w:p>
    <w:p w14:paraId="365EEA32" w14:textId="77777777" w:rsidR="0042580B" w:rsidRPr="004427A8" w:rsidRDefault="0042580B" w:rsidP="008645C7">
      <w:pPr>
        <w:adjustRightInd w:val="0"/>
        <w:jc w:val="both"/>
        <w:rPr>
          <w:b/>
          <w:caps/>
          <w:sz w:val="20"/>
        </w:rPr>
      </w:pPr>
    </w:p>
    <w:p w14:paraId="043666F0" w14:textId="507A096F" w:rsidR="00E13B32" w:rsidRPr="003B5B64" w:rsidRDefault="00E13B32" w:rsidP="003B5B64">
      <w:pPr>
        <w:numPr>
          <w:ilvl w:val="0"/>
          <w:numId w:val="24"/>
        </w:numPr>
        <w:jc w:val="both"/>
        <w:rPr>
          <w:bCs/>
          <w:sz w:val="20"/>
          <w:u w:val="single"/>
          <w:lang w:val="en-CA"/>
        </w:rPr>
      </w:pPr>
      <w:r w:rsidRPr="003B5B64">
        <w:rPr>
          <w:spacing w:val="-2"/>
          <w:sz w:val="20"/>
        </w:rPr>
        <w:t>On January 31, 20</w:t>
      </w:r>
      <w:r w:rsidR="008E5CBE" w:rsidRPr="003B5B64">
        <w:rPr>
          <w:spacing w:val="-2"/>
          <w:sz w:val="20"/>
        </w:rPr>
        <w:t>20</w:t>
      </w:r>
      <w:r w:rsidRPr="003B5B64">
        <w:rPr>
          <w:spacing w:val="-2"/>
          <w:sz w:val="20"/>
        </w:rPr>
        <w:t xml:space="preserve">, the Company entered into a purchase and sale agreement to acquire 203 mining claims adjacent to and on-strike with Meguma Gold’s Greater Goldenville Gold Project (“Goldenville”) in Nova Scotia Canada. Following the acquisition of Goldenville Gold District, the Company has increased </w:t>
      </w:r>
      <w:r w:rsidR="00586BBF" w:rsidRPr="003B5B64">
        <w:rPr>
          <w:spacing w:val="-2"/>
          <w:sz w:val="20"/>
        </w:rPr>
        <w:t xml:space="preserve">its </w:t>
      </w:r>
      <w:r w:rsidRPr="003B5B64">
        <w:rPr>
          <w:spacing w:val="-2"/>
          <w:sz w:val="20"/>
        </w:rPr>
        <w:t xml:space="preserve">mineral licenses from 240 to 443 </w:t>
      </w:r>
      <w:r w:rsidR="00503DB0" w:rsidRPr="003B5B64">
        <w:rPr>
          <w:spacing w:val="-2"/>
          <w:sz w:val="20"/>
        </w:rPr>
        <w:t xml:space="preserve">mineral </w:t>
      </w:r>
      <w:r w:rsidRPr="003B5B64">
        <w:rPr>
          <w:spacing w:val="-2"/>
          <w:sz w:val="20"/>
        </w:rPr>
        <w:t xml:space="preserve">claims in the Goldenville Gold District, which scales </w:t>
      </w:r>
      <w:r w:rsidR="00586BBF" w:rsidRPr="003B5B64">
        <w:rPr>
          <w:spacing w:val="-2"/>
          <w:sz w:val="20"/>
        </w:rPr>
        <w:t xml:space="preserve">up </w:t>
      </w:r>
      <w:r w:rsidRPr="003B5B64">
        <w:rPr>
          <w:spacing w:val="-2"/>
          <w:sz w:val="20"/>
        </w:rPr>
        <w:t>the Company’s operating base and exploration portfolio.</w:t>
      </w:r>
    </w:p>
    <w:p w14:paraId="3617BF1C" w14:textId="77777777" w:rsidR="00263F52" w:rsidRPr="00263F52" w:rsidRDefault="00263F52" w:rsidP="00263F52">
      <w:pPr>
        <w:ind w:left="720"/>
        <w:jc w:val="both"/>
        <w:rPr>
          <w:bCs/>
          <w:sz w:val="20"/>
          <w:u w:val="single"/>
          <w:lang w:val="en-CA"/>
        </w:rPr>
      </w:pPr>
    </w:p>
    <w:p w14:paraId="480B584F" w14:textId="1C905143" w:rsidR="006C4BB1" w:rsidRPr="006C4BB1" w:rsidRDefault="003B5B64" w:rsidP="003B5B64">
      <w:pPr>
        <w:numPr>
          <w:ilvl w:val="0"/>
          <w:numId w:val="24"/>
        </w:numPr>
        <w:autoSpaceDE w:val="0"/>
        <w:autoSpaceDN w:val="0"/>
        <w:adjustRightInd w:val="0"/>
        <w:spacing w:after="120"/>
        <w:ind w:left="810" w:hanging="450"/>
        <w:jc w:val="both"/>
        <w:rPr>
          <w:sz w:val="20"/>
        </w:rPr>
      </w:pPr>
      <w:r>
        <w:rPr>
          <w:sz w:val="20"/>
        </w:rPr>
        <w:t xml:space="preserve">  </w:t>
      </w:r>
      <w:r w:rsidR="00E13B32" w:rsidRPr="006C4BB1">
        <w:rPr>
          <w:sz w:val="20"/>
        </w:rPr>
        <w:t>On February 21, 2020</w:t>
      </w:r>
      <w:r w:rsidR="006C4BB1" w:rsidRPr="006C4BB1">
        <w:rPr>
          <w:sz w:val="20"/>
        </w:rPr>
        <w:t xml:space="preserve"> and as of the date of this MD&amp;A</w:t>
      </w:r>
      <w:r w:rsidR="00E13B32" w:rsidRPr="006C4BB1">
        <w:rPr>
          <w:sz w:val="20"/>
        </w:rPr>
        <w:t xml:space="preserve">, the Company </w:t>
      </w:r>
      <w:r w:rsidR="006C4BB1" w:rsidRPr="006C4BB1">
        <w:rPr>
          <w:sz w:val="20"/>
        </w:rPr>
        <w:t xml:space="preserve">is working on closing a </w:t>
      </w:r>
      <w:r w:rsidR="00E13B32" w:rsidRPr="006C4BB1">
        <w:rPr>
          <w:sz w:val="20"/>
        </w:rPr>
        <w:t xml:space="preserve">palladium project in British Columbia. The Company acquired 5 mineral claims for a total of 3,067 hectares, located in British Columbia for $125,000 and 6,000,000 common shares. </w:t>
      </w:r>
    </w:p>
    <w:p w14:paraId="34A9985C" w14:textId="77777777" w:rsidR="000F60B8" w:rsidRPr="000F60B8" w:rsidRDefault="000F60B8" w:rsidP="000F60B8">
      <w:pPr>
        <w:numPr>
          <w:ilvl w:val="0"/>
          <w:numId w:val="24"/>
        </w:numPr>
        <w:autoSpaceDE w:val="0"/>
        <w:autoSpaceDN w:val="0"/>
        <w:adjustRightInd w:val="0"/>
        <w:spacing w:after="120"/>
        <w:jc w:val="both"/>
        <w:rPr>
          <w:sz w:val="20"/>
        </w:rPr>
      </w:pPr>
      <w:r w:rsidRPr="000F60B8">
        <w:rPr>
          <w:sz w:val="20"/>
        </w:rPr>
        <w:t>On March 11, 2020, the Company announce</w:t>
      </w:r>
      <w:r>
        <w:rPr>
          <w:sz w:val="20"/>
        </w:rPr>
        <w:t>d</w:t>
      </w:r>
      <w:r w:rsidRPr="000F60B8">
        <w:rPr>
          <w:sz w:val="20"/>
        </w:rPr>
        <w:t xml:space="preserve"> that, further to its news release dated February 21, 2020</w:t>
      </w:r>
      <w:r>
        <w:rPr>
          <w:sz w:val="20"/>
        </w:rPr>
        <w:t xml:space="preserve">, it </w:t>
      </w:r>
      <w:r w:rsidRPr="000F60B8">
        <w:rPr>
          <w:sz w:val="20"/>
        </w:rPr>
        <w:t xml:space="preserve">has closed the acquisition of 5 mineral claims for </w:t>
      </w:r>
      <w:r>
        <w:rPr>
          <w:sz w:val="20"/>
        </w:rPr>
        <w:t xml:space="preserve">an arms-length consideration of sum of $125,000 and 6,000,000 </w:t>
      </w:r>
      <w:r w:rsidRPr="000F60B8">
        <w:rPr>
          <w:sz w:val="20"/>
        </w:rPr>
        <w:t>fully paid and non-assessable common shares.</w:t>
      </w:r>
    </w:p>
    <w:p w14:paraId="6946D15E" w14:textId="77777777" w:rsidR="00EC463A" w:rsidRPr="00F35544" w:rsidRDefault="006469CC" w:rsidP="00EC463A">
      <w:pPr>
        <w:rPr>
          <w:bCs/>
          <w:sz w:val="20"/>
          <w:u w:val="single"/>
          <w:lang w:val="en-CA"/>
        </w:rPr>
      </w:pPr>
      <w:r w:rsidRPr="00F35544">
        <w:rPr>
          <w:bCs/>
          <w:sz w:val="20"/>
          <w:u w:val="single"/>
          <w:lang w:val="en-CA"/>
        </w:rPr>
        <w:t>Us</w:t>
      </w:r>
      <w:r w:rsidR="00EC463A" w:rsidRPr="00F35544">
        <w:rPr>
          <w:bCs/>
          <w:sz w:val="20"/>
          <w:u w:val="single"/>
          <w:lang w:val="en-CA"/>
        </w:rPr>
        <w:t>e of proceeds</w:t>
      </w:r>
    </w:p>
    <w:p w14:paraId="5CDAFC15" w14:textId="77777777" w:rsidR="00B1795F" w:rsidRPr="00F35544" w:rsidRDefault="00B1795F" w:rsidP="00EC463A">
      <w:pPr>
        <w:rPr>
          <w:bCs/>
          <w:i/>
          <w:sz w:val="20"/>
          <w:u w:val="single"/>
          <w:lang w:val="en-CA"/>
        </w:rPr>
      </w:pPr>
    </w:p>
    <w:p w14:paraId="580591E9" w14:textId="77777777" w:rsidR="00B1795F" w:rsidRPr="00F35544" w:rsidRDefault="00B1795F" w:rsidP="00931514">
      <w:pPr>
        <w:spacing w:after="120"/>
        <w:rPr>
          <w:bCs/>
          <w:i/>
          <w:sz w:val="20"/>
          <w:u w:val="single"/>
          <w:lang w:val="en-CA"/>
        </w:rPr>
      </w:pPr>
      <w:r w:rsidRPr="00F35544">
        <w:rPr>
          <w:bCs/>
          <w:i/>
          <w:sz w:val="20"/>
          <w:u w:val="single"/>
          <w:lang w:val="en-CA"/>
        </w:rPr>
        <w:t>Flow-through</w:t>
      </w:r>
    </w:p>
    <w:p w14:paraId="68BB8124" w14:textId="77777777" w:rsidR="00266FD9" w:rsidRDefault="00DB0C14" w:rsidP="00015FAA">
      <w:pPr>
        <w:jc w:val="both"/>
        <w:rPr>
          <w:sz w:val="20"/>
        </w:rPr>
      </w:pPr>
      <w:r w:rsidRPr="00F35544">
        <w:rPr>
          <w:sz w:val="20"/>
        </w:rPr>
        <w:t>The</w:t>
      </w:r>
      <w:r w:rsidR="00EC463A" w:rsidRPr="00F35544">
        <w:rPr>
          <w:sz w:val="20"/>
        </w:rPr>
        <w:t xml:space="preserve"> Company intends to use the net proceeds </w:t>
      </w:r>
      <w:r w:rsidR="00BE5FDF" w:rsidRPr="00F35544">
        <w:rPr>
          <w:sz w:val="20"/>
        </w:rPr>
        <w:t xml:space="preserve">of the </w:t>
      </w:r>
      <w:r w:rsidR="00B1795F" w:rsidRPr="00F35544">
        <w:rPr>
          <w:sz w:val="20"/>
        </w:rPr>
        <w:t xml:space="preserve">January and </w:t>
      </w:r>
      <w:r w:rsidR="00015FAA" w:rsidRPr="00F35544">
        <w:rPr>
          <w:sz w:val="20"/>
        </w:rPr>
        <w:t>May 2018</w:t>
      </w:r>
      <w:r w:rsidR="00BE5FDF" w:rsidRPr="00F35544">
        <w:rPr>
          <w:sz w:val="20"/>
        </w:rPr>
        <w:t xml:space="preserve"> flow-through</w:t>
      </w:r>
      <w:r w:rsidR="00B1795F" w:rsidRPr="00F35544">
        <w:rPr>
          <w:sz w:val="20"/>
        </w:rPr>
        <w:t xml:space="preserve"> private</w:t>
      </w:r>
      <w:r w:rsidR="00BE5FDF" w:rsidRPr="00F35544">
        <w:rPr>
          <w:sz w:val="20"/>
        </w:rPr>
        <w:t xml:space="preserve"> placement</w:t>
      </w:r>
      <w:r w:rsidR="00B1795F" w:rsidRPr="00F35544">
        <w:rPr>
          <w:sz w:val="20"/>
        </w:rPr>
        <w:t>s</w:t>
      </w:r>
      <w:r w:rsidR="00BE5FDF" w:rsidRPr="00F35544">
        <w:rPr>
          <w:sz w:val="20"/>
        </w:rPr>
        <w:t xml:space="preserve"> on qualifying Canadian Exploration Expenditures pursuant to the Income Tax Act (Canada)</w:t>
      </w:r>
      <w:r w:rsidR="00266FD9" w:rsidRPr="00F35544">
        <w:rPr>
          <w:sz w:val="20"/>
        </w:rPr>
        <w:t>, to further explore the Company’s exploration and evaluation assets and initiate a multi-phase exploration program.</w:t>
      </w:r>
    </w:p>
    <w:p w14:paraId="7C5638B0" w14:textId="77777777" w:rsidR="000F60B8" w:rsidRPr="00F35544" w:rsidRDefault="000F60B8" w:rsidP="00015FAA">
      <w:pPr>
        <w:jc w:val="both"/>
        <w:rPr>
          <w:sz w:val="20"/>
        </w:rPr>
      </w:pPr>
    </w:p>
    <w:tbl>
      <w:tblPr>
        <w:tblW w:w="9370" w:type="dxa"/>
        <w:tblInd w:w="108" w:type="dxa"/>
        <w:tblBorders>
          <w:top w:val="double" w:sz="4" w:space="0" w:color="auto"/>
          <w:bottom w:val="double" w:sz="4" w:space="0" w:color="auto"/>
        </w:tblBorders>
        <w:tblLayout w:type="fixed"/>
        <w:tblLook w:val="04A0" w:firstRow="1" w:lastRow="0" w:firstColumn="1" w:lastColumn="0" w:noHBand="0" w:noVBand="1"/>
      </w:tblPr>
      <w:tblGrid>
        <w:gridCol w:w="2554"/>
        <w:gridCol w:w="1496"/>
        <w:gridCol w:w="2430"/>
        <w:gridCol w:w="1494"/>
        <w:gridCol w:w="1364"/>
        <w:gridCol w:w="32"/>
      </w:tblGrid>
      <w:tr w:rsidR="00E13B32" w:rsidRPr="004427A8" w14:paraId="3863B340" w14:textId="77777777" w:rsidTr="002B6262">
        <w:trPr>
          <w:trHeight w:val="205"/>
        </w:trPr>
        <w:tc>
          <w:tcPr>
            <w:tcW w:w="2554" w:type="dxa"/>
            <w:tcBorders>
              <w:top w:val="double" w:sz="4" w:space="0" w:color="auto"/>
              <w:left w:val="nil"/>
              <w:bottom w:val="nil"/>
            </w:tcBorders>
          </w:tcPr>
          <w:p w14:paraId="12C9A663" w14:textId="77777777" w:rsidR="00E13B32" w:rsidRPr="00E13B32" w:rsidRDefault="00E13B32" w:rsidP="00CC3EB8">
            <w:pPr>
              <w:rPr>
                <w:sz w:val="20"/>
                <w:lang w:val="en-CA"/>
              </w:rPr>
            </w:pPr>
            <w:r w:rsidRPr="00E13B32">
              <w:rPr>
                <w:sz w:val="20"/>
                <w:lang w:val="en-CA"/>
              </w:rPr>
              <w:t>Intended use of proceeds of May 2018 Flow-through Private Placements</w:t>
            </w:r>
          </w:p>
        </w:tc>
        <w:tc>
          <w:tcPr>
            <w:tcW w:w="1496" w:type="dxa"/>
            <w:tcBorders>
              <w:top w:val="double" w:sz="4" w:space="0" w:color="auto"/>
              <w:bottom w:val="nil"/>
              <w:right w:val="nil"/>
            </w:tcBorders>
          </w:tcPr>
          <w:p w14:paraId="5D00CD8C" w14:textId="77777777" w:rsidR="00E13B32" w:rsidRPr="00E13B32" w:rsidRDefault="00E13B32" w:rsidP="00E13B32">
            <w:pPr>
              <w:rPr>
                <w:sz w:val="20"/>
                <w:lang w:val="en-CA"/>
              </w:rPr>
            </w:pPr>
          </w:p>
        </w:tc>
        <w:tc>
          <w:tcPr>
            <w:tcW w:w="2430" w:type="dxa"/>
            <w:tcBorders>
              <w:top w:val="double" w:sz="4" w:space="0" w:color="auto"/>
              <w:left w:val="nil"/>
              <w:bottom w:val="nil"/>
            </w:tcBorders>
          </w:tcPr>
          <w:p w14:paraId="02DA6CCC" w14:textId="0A2F6C1C" w:rsidR="00E13B32" w:rsidRPr="00E13B32" w:rsidRDefault="00E13B32" w:rsidP="00CC3EB8">
            <w:pPr>
              <w:rPr>
                <w:sz w:val="20"/>
                <w:lang w:val="en-CA"/>
              </w:rPr>
            </w:pPr>
            <w:r w:rsidRPr="00E13B32">
              <w:rPr>
                <w:sz w:val="20"/>
                <w:lang w:val="en-CA"/>
              </w:rPr>
              <w:t xml:space="preserve">Amount incurred to date </w:t>
            </w:r>
            <w:r w:rsidR="00D71297">
              <w:rPr>
                <w:sz w:val="20"/>
                <w:lang w:val="en-CA"/>
              </w:rPr>
              <w:t>June 30</w:t>
            </w:r>
            <w:r w:rsidRPr="00E13B32">
              <w:rPr>
                <w:sz w:val="20"/>
                <w:lang w:val="en-CA"/>
              </w:rPr>
              <w:t>, 20</w:t>
            </w:r>
            <w:r w:rsidR="005906FE">
              <w:rPr>
                <w:sz w:val="20"/>
                <w:lang w:val="en-CA"/>
              </w:rPr>
              <w:t>20</w:t>
            </w:r>
          </w:p>
        </w:tc>
        <w:tc>
          <w:tcPr>
            <w:tcW w:w="1494" w:type="dxa"/>
            <w:tcBorders>
              <w:top w:val="double" w:sz="4" w:space="0" w:color="auto"/>
              <w:bottom w:val="nil"/>
              <w:right w:val="nil"/>
            </w:tcBorders>
          </w:tcPr>
          <w:p w14:paraId="108C8808" w14:textId="77777777" w:rsidR="00E13B32" w:rsidRPr="00E13B32" w:rsidRDefault="00E13B32" w:rsidP="00E13B32">
            <w:pPr>
              <w:rPr>
                <w:sz w:val="20"/>
                <w:lang w:val="en-CA"/>
              </w:rPr>
            </w:pPr>
          </w:p>
        </w:tc>
        <w:tc>
          <w:tcPr>
            <w:tcW w:w="1396" w:type="dxa"/>
            <w:gridSpan w:val="2"/>
            <w:tcBorders>
              <w:top w:val="double" w:sz="4" w:space="0" w:color="auto"/>
              <w:left w:val="nil"/>
              <w:bottom w:val="nil"/>
              <w:right w:val="nil"/>
            </w:tcBorders>
          </w:tcPr>
          <w:p w14:paraId="7A4B5E0B" w14:textId="77777777" w:rsidR="00E13B32" w:rsidRPr="00E13B32" w:rsidRDefault="00E13B32" w:rsidP="00CC3EB8">
            <w:pPr>
              <w:rPr>
                <w:sz w:val="20"/>
                <w:lang w:val="en-CA"/>
              </w:rPr>
            </w:pPr>
            <w:r w:rsidRPr="00E13B32">
              <w:rPr>
                <w:sz w:val="20"/>
                <w:lang w:val="en-CA"/>
              </w:rPr>
              <w:t>Variances</w:t>
            </w:r>
          </w:p>
        </w:tc>
      </w:tr>
      <w:tr w:rsidR="00E13B32" w:rsidRPr="004427A8" w14:paraId="74C8FB9A" w14:textId="77777777" w:rsidTr="002B6262">
        <w:trPr>
          <w:trHeight w:val="205"/>
        </w:trPr>
        <w:tc>
          <w:tcPr>
            <w:tcW w:w="2554" w:type="dxa"/>
            <w:tcBorders>
              <w:top w:val="double" w:sz="4" w:space="0" w:color="auto"/>
              <w:left w:val="nil"/>
              <w:bottom w:val="nil"/>
            </w:tcBorders>
          </w:tcPr>
          <w:p w14:paraId="63E05D6A" w14:textId="77777777" w:rsidR="00E13B32" w:rsidRPr="004427A8" w:rsidRDefault="00E13B32" w:rsidP="00CC3EB8">
            <w:pPr>
              <w:rPr>
                <w:sz w:val="20"/>
                <w:lang w:val="en-CA"/>
              </w:rPr>
            </w:pPr>
            <w:r w:rsidRPr="004427A8">
              <w:rPr>
                <w:sz w:val="20"/>
                <w:lang w:val="en-CA"/>
              </w:rPr>
              <w:t>Canadian exploration expenditures</w:t>
            </w:r>
          </w:p>
        </w:tc>
        <w:tc>
          <w:tcPr>
            <w:tcW w:w="1496" w:type="dxa"/>
            <w:tcBorders>
              <w:top w:val="double" w:sz="4" w:space="0" w:color="auto"/>
              <w:bottom w:val="nil"/>
              <w:right w:val="nil"/>
            </w:tcBorders>
            <w:vAlign w:val="bottom"/>
          </w:tcPr>
          <w:p w14:paraId="316C8A12" w14:textId="77777777" w:rsidR="00E13B32" w:rsidRPr="004427A8" w:rsidRDefault="00E13B32" w:rsidP="006C4BB1">
            <w:pPr>
              <w:rPr>
                <w:sz w:val="20"/>
                <w:lang w:val="en-CA"/>
              </w:rPr>
            </w:pPr>
            <w:r w:rsidRPr="004427A8">
              <w:rPr>
                <w:sz w:val="20"/>
                <w:lang w:val="en-CA"/>
              </w:rPr>
              <w:t>$3,565,410</w:t>
            </w:r>
          </w:p>
        </w:tc>
        <w:tc>
          <w:tcPr>
            <w:tcW w:w="2430" w:type="dxa"/>
            <w:tcBorders>
              <w:top w:val="double" w:sz="4" w:space="0" w:color="auto"/>
              <w:left w:val="nil"/>
              <w:bottom w:val="nil"/>
            </w:tcBorders>
            <w:shd w:val="clear" w:color="auto" w:fill="auto"/>
            <w:vAlign w:val="bottom"/>
          </w:tcPr>
          <w:p w14:paraId="2BF990DC" w14:textId="77777777" w:rsidR="00E13B32" w:rsidRPr="004427A8" w:rsidRDefault="00E13B32" w:rsidP="006C4BB1">
            <w:pPr>
              <w:rPr>
                <w:sz w:val="20"/>
                <w:lang w:val="en-CA"/>
              </w:rPr>
            </w:pPr>
            <w:bookmarkStart w:id="0" w:name="_Hlk45619714"/>
            <w:r w:rsidRPr="004427A8">
              <w:rPr>
                <w:sz w:val="20"/>
                <w:lang w:val="en-CA"/>
              </w:rPr>
              <w:t>Canadian exploration expenditures</w:t>
            </w:r>
            <w:bookmarkEnd w:id="0"/>
          </w:p>
        </w:tc>
        <w:tc>
          <w:tcPr>
            <w:tcW w:w="1494" w:type="dxa"/>
            <w:tcBorders>
              <w:top w:val="double" w:sz="4" w:space="0" w:color="auto"/>
              <w:bottom w:val="nil"/>
              <w:right w:val="nil"/>
            </w:tcBorders>
            <w:shd w:val="clear" w:color="auto" w:fill="auto"/>
            <w:vAlign w:val="bottom"/>
          </w:tcPr>
          <w:p w14:paraId="203703DE" w14:textId="6A68614F" w:rsidR="00E13B32" w:rsidRPr="00263F52" w:rsidRDefault="00E13B32" w:rsidP="006C4BB1">
            <w:pPr>
              <w:rPr>
                <w:sz w:val="20"/>
                <w:lang w:val="en-CA"/>
              </w:rPr>
            </w:pPr>
            <w:r w:rsidRPr="00263F52">
              <w:rPr>
                <w:sz w:val="20"/>
                <w:lang w:val="en-CA"/>
              </w:rPr>
              <w:t>$</w:t>
            </w:r>
            <w:r w:rsidR="002B6262">
              <w:rPr>
                <w:sz w:val="20"/>
                <w:lang w:val="en-CA"/>
              </w:rPr>
              <w:t>2,</w:t>
            </w:r>
            <w:r w:rsidR="00D71297">
              <w:rPr>
                <w:sz w:val="20"/>
                <w:lang w:val="en-CA"/>
              </w:rPr>
              <w:t>833</w:t>
            </w:r>
            <w:r w:rsidR="002B6262">
              <w:rPr>
                <w:sz w:val="20"/>
                <w:lang w:val="en-CA"/>
              </w:rPr>
              <w:t>,</w:t>
            </w:r>
            <w:r w:rsidR="00D71297">
              <w:rPr>
                <w:sz w:val="20"/>
                <w:lang w:val="en-CA"/>
              </w:rPr>
              <w:t>984</w:t>
            </w:r>
          </w:p>
        </w:tc>
        <w:tc>
          <w:tcPr>
            <w:tcW w:w="1396" w:type="dxa"/>
            <w:gridSpan w:val="2"/>
            <w:tcBorders>
              <w:top w:val="double" w:sz="4" w:space="0" w:color="auto"/>
              <w:left w:val="nil"/>
              <w:bottom w:val="nil"/>
              <w:right w:val="nil"/>
            </w:tcBorders>
          </w:tcPr>
          <w:p w14:paraId="799C1B1C" w14:textId="77777777" w:rsidR="00E13B32" w:rsidRPr="004427A8" w:rsidRDefault="00E13B32" w:rsidP="00CC3EB8">
            <w:pPr>
              <w:rPr>
                <w:sz w:val="20"/>
                <w:lang w:val="en-CA"/>
              </w:rPr>
            </w:pPr>
            <w:r w:rsidRPr="004427A8">
              <w:rPr>
                <w:sz w:val="20"/>
                <w:lang w:val="en-CA"/>
              </w:rPr>
              <w:t xml:space="preserve">No variances anticipated. </w:t>
            </w:r>
          </w:p>
        </w:tc>
      </w:tr>
      <w:tr w:rsidR="00E13B32" w:rsidRPr="004427A8" w14:paraId="2DA1BBE9" w14:textId="77777777" w:rsidTr="002B6262">
        <w:trPr>
          <w:trHeight w:val="205"/>
        </w:trPr>
        <w:tc>
          <w:tcPr>
            <w:tcW w:w="2554" w:type="dxa"/>
            <w:tcBorders>
              <w:top w:val="double" w:sz="4" w:space="0" w:color="auto"/>
              <w:left w:val="nil"/>
              <w:bottom w:val="nil"/>
            </w:tcBorders>
          </w:tcPr>
          <w:p w14:paraId="5D693BA7" w14:textId="77777777" w:rsidR="00E13B32" w:rsidRPr="004427A8" w:rsidRDefault="00E13B32" w:rsidP="00E13B32">
            <w:pPr>
              <w:rPr>
                <w:sz w:val="20"/>
                <w:lang w:val="en-CA"/>
              </w:rPr>
            </w:pPr>
            <w:r w:rsidRPr="004427A8">
              <w:rPr>
                <w:sz w:val="20"/>
                <w:lang w:val="en-CA"/>
              </w:rPr>
              <w:t>Total</w:t>
            </w:r>
          </w:p>
        </w:tc>
        <w:tc>
          <w:tcPr>
            <w:tcW w:w="1496" w:type="dxa"/>
            <w:tcBorders>
              <w:top w:val="double" w:sz="4" w:space="0" w:color="auto"/>
              <w:bottom w:val="nil"/>
              <w:right w:val="nil"/>
            </w:tcBorders>
          </w:tcPr>
          <w:p w14:paraId="2922677C" w14:textId="77777777" w:rsidR="00E13B32" w:rsidRPr="004427A8" w:rsidRDefault="00E13B32" w:rsidP="00E13B32">
            <w:pPr>
              <w:rPr>
                <w:sz w:val="20"/>
                <w:lang w:val="en-CA"/>
              </w:rPr>
            </w:pPr>
            <w:r w:rsidRPr="004427A8">
              <w:rPr>
                <w:sz w:val="20"/>
                <w:lang w:val="en-CA"/>
              </w:rPr>
              <w:t>$3,565,410</w:t>
            </w:r>
          </w:p>
        </w:tc>
        <w:tc>
          <w:tcPr>
            <w:tcW w:w="2430" w:type="dxa"/>
            <w:tcBorders>
              <w:top w:val="double" w:sz="4" w:space="0" w:color="auto"/>
              <w:left w:val="nil"/>
              <w:bottom w:val="nil"/>
            </w:tcBorders>
            <w:shd w:val="clear" w:color="auto" w:fill="auto"/>
          </w:tcPr>
          <w:p w14:paraId="27E8D684" w14:textId="77777777" w:rsidR="00E13B32" w:rsidRPr="004427A8" w:rsidRDefault="00E13B32" w:rsidP="00E13B32">
            <w:pPr>
              <w:rPr>
                <w:sz w:val="20"/>
                <w:lang w:val="en-CA"/>
              </w:rPr>
            </w:pPr>
            <w:r w:rsidRPr="004427A8">
              <w:rPr>
                <w:sz w:val="20"/>
                <w:lang w:val="en-CA"/>
              </w:rPr>
              <w:t>Total to date</w:t>
            </w:r>
          </w:p>
        </w:tc>
        <w:tc>
          <w:tcPr>
            <w:tcW w:w="1494" w:type="dxa"/>
            <w:tcBorders>
              <w:top w:val="double" w:sz="4" w:space="0" w:color="auto"/>
              <w:bottom w:val="nil"/>
              <w:right w:val="nil"/>
            </w:tcBorders>
            <w:shd w:val="clear" w:color="auto" w:fill="auto"/>
          </w:tcPr>
          <w:p w14:paraId="2A7A50F5" w14:textId="01A6C1E0" w:rsidR="00E13B32" w:rsidRPr="002B6262" w:rsidRDefault="00E13B32" w:rsidP="002B6262">
            <w:pPr>
              <w:rPr>
                <w:sz w:val="20"/>
                <w:lang w:val="en-CA"/>
              </w:rPr>
            </w:pPr>
            <w:r w:rsidRPr="00263F52">
              <w:rPr>
                <w:sz w:val="20"/>
                <w:lang w:val="en-CA"/>
              </w:rPr>
              <w:t>$</w:t>
            </w:r>
            <w:r w:rsidR="002B6262">
              <w:rPr>
                <w:sz w:val="20"/>
                <w:lang w:val="en-CA"/>
              </w:rPr>
              <w:t>2</w:t>
            </w:r>
            <w:r w:rsidR="00D71297">
              <w:rPr>
                <w:sz w:val="20"/>
                <w:lang w:val="en-CA"/>
              </w:rPr>
              <w:t>,833</w:t>
            </w:r>
            <w:r w:rsidR="002B6262">
              <w:rPr>
                <w:sz w:val="20"/>
                <w:lang w:val="en-CA"/>
              </w:rPr>
              <w:t>,</w:t>
            </w:r>
            <w:r w:rsidR="00D71297">
              <w:rPr>
                <w:sz w:val="20"/>
                <w:lang w:val="en-CA"/>
              </w:rPr>
              <w:t>984</w:t>
            </w:r>
          </w:p>
        </w:tc>
        <w:tc>
          <w:tcPr>
            <w:tcW w:w="1396" w:type="dxa"/>
            <w:gridSpan w:val="2"/>
            <w:tcBorders>
              <w:top w:val="double" w:sz="4" w:space="0" w:color="auto"/>
              <w:left w:val="nil"/>
              <w:bottom w:val="nil"/>
              <w:right w:val="nil"/>
            </w:tcBorders>
          </w:tcPr>
          <w:p w14:paraId="31809A07" w14:textId="77777777" w:rsidR="00E13B32" w:rsidRPr="004427A8" w:rsidRDefault="00E13B32" w:rsidP="00CC3EB8">
            <w:pPr>
              <w:rPr>
                <w:sz w:val="20"/>
                <w:lang w:val="en-CA"/>
              </w:rPr>
            </w:pPr>
          </w:p>
        </w:tc>
      </w:tr>
      <w:tr w:rsidR="00E13B32" w:rsidRPr="004427A8" w14:paraId="708D8F1F" w14:textId="77777777" w:rsidTr="002B6262">
        <w:trPr>
          <w:trHeight w:val="50"/>
        </w:trPr>
        <w:tc>
          <w:tcPr>
            <w:tcW w:w="2554" w:type="dxa"/>
            <w:tcBorders>
              <w:top w:val="double" w:sz="4" w:space="0" w:color="auto"/>
              <w:left w:val="nil"/>
              <w:bottom w:val="nil"/>
            </w:tcBorders>
          </w:tcPr>
          <w:p w14:paraId="30B2AA6B" w14:textId="77777777" w:rsidR="00E13B32" w:rsidRPr="004427A8" w:rsidRDefault="00E13B32" w:rsidP="00E13B32">
            <w:pPr>
              <w:rPr>
                <w:sz w:val="20"/>
                <w:lang w:val="en-CA"/>
              </w:rPr>
            </w:pPr>
          </w:p>
        </w:tc>
        <w:tc>
          <w:tcPr>
            <w:tcW w:w="1496" w:type="dxa"/>
            <w:tcBorders>
              <w:top w:val="double" w:sz="4" w:space="0" w:color="auto"/>
              <w:bottom w:val="nil"/>
              <w:right w:val="nil"/>
            </w:tcBorders>
          </w:tcPr>
          <w:p w14:paraId="51409D5E" w14:textId="77777777" w:rsidR="00E13B32" w:rsidRPr="004427A8" w:rsidRDefault="00E13B32" w:rsidP="00E13B32">
            <w:pPr>
              <w:rPr>
                <w:sz w:val="20"/>
                <w:lang w:val="en-CA"/>
              </w:rPr>
            </w:pPr>
          </w:p>
        </w:tc>
        <w:tc>
          <w:tcPr>
            <w:tcW w:w="2430" w:type="dxa"/>
            <w:tcBorders>
              <w:top w:val="double" w:sz="4" w:space="0" w:color="auto"/>
              <w:left w:val="nil"/>
              <w:bottom w:val="nil"/>
            </w:tcBorders>
          </w:tcPr>
          <w:p w14:paraId="36E1F877" w14:textId="77777777" w:rsidR="00E13B32" w:rsidRPr="004427A8" w:rsidRDefault="00E13B32" w:rsidP="00E13B32">
            <w:pPr>
              <w:rPr>
                <w:sz w:val="20"/>
                <w:lang w:val="en-CA"/>
              </w:rPr>
            </w:pPr>
          </w:p>
        </w:tc>
        <w:tc>
          <w:tcPr>
            <w:tcW w:w="1494" w:type="dxa"/>
            <w:tcBorders>
              <w:top w:val="double" w:sz="4" w:space="0" w:color="auto"/>
              <w:bottom w:val="nil"/>
              <w:right w:val="nil"/>
            </w:tcBorders>
          </w:tcPr>
          <w:p w14:paraId="1605B47D" w14:textId="77777777" w:rsidR="00E13B32" w:rsidRPr="004427A8" w:rsidRDefault="00E13B32" w:rsidP="00CC3EB8">
            <w:pPr>
              <w:rPr>
                <w:sz w:val="20"/>
                <w:lang w:val="en-CA"/>
              </w:rPr>
            </w:pPr>
          </w:p>
        </w:tc>
        <w:tc>
          <w:tcPr>
            <w:tcW w:w="1396" w:type="dxa"/>
            <w:gridSpan w:val="2"/>
            <w:tcBorders>
              <w:top w:val="double" w:sz="4" w:space="0" w:color="auto"/>
              <w:left w:val="nil"/>
              <w:bottom w:val="nil"/>
              <w:right w:val="nil"/>
            </w:tcBorders>
          </w:tcPr>
          <w:p w14:paraId="73E9EF48" w14:textId="77777777" w:rsidR="00E13B32" w:rsidRPr="004427A8" w:rsidRDefault="00E13B32" w:rsidP="00CC3EB8">
            <w:pPr>
              <w:rPr>
                <w:sz w:val="20"/>
                <w:lang w:val="en-CA"/>
              </w:rPr>
            </w:pPr>
          </w:p>
        </w:tc>
      </w:tr>
      <w:tr w:rsidR="003822EA" w:rsidRPr="00F35544" w14:paraId="7E5F9FAA" w14:textId="77777777" w:rsidTr="002B6262">
        <w:trPr>
          <w:gridAfter w:val="1"/>
          <w:wAfter w:w="32" w:type="dxa"/>
          <w:trHeight w:val="205"/>
        </w:trPr>
        <w:tc>
          <w:tcPr>
            <w:tcW w:w="2554" w:type="dxa"/>
            <w:tcBorders>
              <w:top w:val="single" w:sz="4" w:space="0" w:color="auto"/>
              <w:left w:val="nil"/>
              <w:bottom w:val="double" w:sz="4" w:space="0" w:color="auto"/>
            </w:tcBorders>
          </w:tcPr>
          <w:p w14:paraId="01B87CBF" w14:textId="77777777" w:rsidR="003822EA" w:rsidRPr="003822EA" w:rsidRDefault="003822EA" w:rsidP="002D2036">
            <w:pPr>
              <w:rPr>
                <w:sz w:val="20"/>
                <w:lang w:val="en-CA"/>
              </w:rPr>
            </w:pPr>
            <w:r w:rsidRPr="003822EA">
              <w:rPr>
                <w:sz w:val="20"/>
                <w:lang w:val="en-CA"/>
              </w:rPr>
              <w:t>Intended use of proceeds of January 2018 Flow-through Private Placements</w:t>
            </w:r>
          </w:p>
        </w:tc>
        <w:tc>
          <w:tcPr>
            <w:tcW w:w="1496" w:type="dxa"/>
            <w:tcBorders>
              <w:top w:val="single" w:sz="4" w:space="0" w:color="auto"/>
              <w:bottom w:val="double" w:sz="4" w:space="0" w:color="auto"/>
              <w:right w:val="nil"/>
            </w:tcBorders>
          </w:tcPr>
          <w:p w14:paraId="1D964ED5" w14:textId="77777777" w:rsidR="003822EA" w:rsidRPr="003822EA" w:rsidRDefault="003822EA" w:rsidP="003822EA">
            <w:pPr>
              <w:rPr>
                <w:sz w:val="20"/>
                <w:lang w:val="en-CA"/>
              </w:rPr>
            </w:pPr>
          </w:p>
        </w:tc>
        <w:tc>
          <w:tcPr>
            <w:tcW w:w="2430" w:type="dxa"/>
            <w:tcBorders>
              <w:top w:val="single" w:sz="4" w:space="0" w:color="auto"/>
              <w:left w:val="nil"/>
              <w:bottom w:val="double" w:sz="4" w:space="0" w:color="auto"/>
            </w:tcBorders>
          </w:tcPr>
          <w:p w14:paraId="2A5AF1A3" w14:textId="213C1D94" w:rsidR="003822EA" w:rsidRPr="003822EA" w:rsidRDefault="003822EA" w:rsidP="002D2036">
            <w:pPr>
              <w:rPr>
                <w:sz w:val="20"/>
                <w:lang w:val="en-CA"/>
              </w:rPr>
            </w:pPr>
            <w:r w:rsidRPr="003822EA">
              <w:rPr>
                <w:sz w:val="20"/>
                <w:lang w:val="en-CA"/>
              </w:rPr>
              <w:t xml:space="preserve">Amount incurred to date </w:t>
            </w:r>
            <w:r w:rsidR="00D71297">
              <w:rPr>
                <w:sz w:val="20"/>
                <w:lang w:val="en-CA"/>
              </w:rPr>
              <w:t>June 30</w:t>
            </w:r>
            <w:r w:rsidRPr="003822EA">
              <w:rPr>
                <w:sz w:val="20"/>
                <w:lang w:val="en-CA"/>
              </w:rPr>
              <w:t>, 20</w:t>
            </w:r>
            <w:r>
              <w:rPr>
                <w:sz w:val="20"/>
                <w:lang w:val="en-CA"/>
              </w:rPr>
              <w:t>20</w:t>
            </w:r>
          </w:p>
        </w:tc>
        <w:tc>
          <w:tcPr>
            <w:tcW w:w="1494" w:type="dxa"/>
            <w:tcBorders>
              <w:top w:val="single" w:sz="4" w:space="0" w:color="auto"/>
              <w:bottom w:val="double" w:sz="4" w:space="0" w:color="auto"/>
              <w:right w:val="nil"/>
            </w:tcBorders>
            <w:vAlign w:val="bottom"/>
          </w:tcPr>
          <w:p w14:paraId="7DF4C3CA" w14:textId="77777777" w:rsidR="003822EA" w:rsidRPr="003822EA" w:rsidRDefault="003822EA" w:rsidP="003822EA">
            <w:pPr>
              <w:rPr>
                <w:sz w:val="20"/>
                <w:lang w:val="en-CA"/>
              </w:rPr>
            </w:pPr>
          </w:p>
        </w:tc>
        <w:tc>
          <w:tcPr>
            <w:tcW w:w="1364" w:type="dxa"/>
            <w:tcBorders>
              <w:top w:val="single" w:sz="4" w:space="0" w:color="auto"/>
              <w:left w:val="nil"/>
              <w:bottom w:val="double" w:sz="4" w:space="0" w:color="auto"/>
              <w:right w:val="nil"/>
            </w:tcBorders>
          </w:tcPr>
          <w:p w14:paraId="32082AD3" w14:textId="77777777" w:rsidR="003822EA" w:rsidRPr="003822EA" w:rsidRDefault="003822EA" w:rsidP="002D2036">
            <w:pPr>
              <w:rPr>
                <w:sz w:val="20"/>
                <w:lang w:val="en-CA"/>
              </w:rPr>
            </w:pPr>
            <w:r w:rsidRPr="003822EA">
              <w:rPr>
                <w:sz w:val="20"/>
                <w:lang w:val="en-CA"/>
              </w:rPr>
              <w:t>Variances</w:t>
            </w:r>
          </w:p>
        </w:tc>
      </w:tr>
      <w:tr w:rsidR="003822EA" w:rsidRPr="002B6262" w14:paraId="7723E740" w14:textId="77777777" w:rsidTr="002B6262">
        <w:trPr>
          <w:gridAfter w:val="1"/>
          <w:wAfter w:w="32" w:type="dxa"/>
          <w:trHeight w:val="205"/>
        </w:trPr>
        <w:tc>
          <w:tcPr>
            <w:tcW w:w="2554" w:type="dxa"/>
            <w:tcBorders>
              <w:top w:val="single" w:sz="4" w:space="0" w:color="auto"/>
              <w:left w:val="nil"/>
              <w:bottom w:val="double" w:sz="4" w:space="0" w:color="auto"/>
            </w:tcBorders>
          </w:tcPr>
          <w:p w14:paraId="357D33BF" w14:textId="77777777" w:rsidR="003822EA" w:rsidRPr="00F35544" w:rsidRDefault="003822EA" w:rsidP="002D2036">
            <w:pPr>
              <w:rPr>
                <w:sz w:val="20"/>
                <w:lang w:val="en-CA"/>
              </w:rPr>
            </w:pPr>
            <w:r w:rsidRPr="00F35544">
              <w:rPr>
                <w:sz w:val="20"/>
                <w:lang w:val="en-CA"/>
              </w:rPr>
              <w:t>Canadian exploration expenditures</w:t>
            </w:r>
          </w:p>
        </w:tc>
        <w:tc>
          <w:tcPr>
            <w:tcW w:w="1496" w:type="dxa"/>
            <w:tcBorders>
              <w:top w:val="single" w:sz="4" w:space="0" w:color="auto"/>
              <w:bottom w:val="double" w:sz="4" w:space="0" w:color="auto"/>
              <w:right w:val="nil"/>
            </w:tcBorders>
          </w:tcPr>
          <w:p w14:paraId="1F36EAF3" w14:textId="77777777" w:rsidR="003822EA" w:rsidRPr="00F35544" w:rsidRDefault="003822EA" w:rsidP="003822EA">
            <w:pPr>
              <w:rPr>
                <w:sz w:val="20"/>
                <w:lang w:val="en-CA"/>
              </w:rPr>
            </w:pPr>
            <w:r w:rsidRPr="00F35544">
              <w:rPr>
                <w:sz w:val="20"/>
                <w:lang w:val="en-CA"/>
              </w:rPr>
              <w:t>$2,205,000</w:t>
            </w:r>
          </w:p>
        </w:tc>
        <w:tc>
          <w:tcPr>
            <w:tcW w:w="2430" w:type="dxa"/>
            <w:tcBorders>
              <w:top w:val="single" w:sz="4" w:space="0" w:color="auto"/>
              <w:left w:val="nil"/>
              <w:bottom w:val="double" w:sz="4" w:space="0" w:color="auto"/>
            </w:tcBorders>
          </w:tcPr>
          <w:p w14:paraId="18E02779" w14:textId="77777777" w:rsidR="003822EA" w:rsidRPr="00F35544" w:rsidRDefault="003822EA" w:rsidP="003822EA">
            <w:pPr>
              <w:rPr>
                <w:sz w:val="20"/>
                <w:lang w:val="en-CA"/>
              </w:rPr>
            </w:pPr>
            <w:r w:rsidRPr="00F35544">
              <w:rPr>
                <w:sz w:val="20"/>
                <w:lang w:val="en-CA"/>
              </w:rPr>
              <w:t>Canadian exploration expenditures</w:t>
            </w:r>
          </w:p>
        </w:tc>
        <w:tc>
          <w:tcPr>
            <w:tcW w:w="1494" w:type="dxa"/>
            <w:tcBorders>
              <w:top w:val="single" w:sz="4" w:space="0" w:color="auto"/>
              <w:bottom w:val="double" w:sz="4" w:space="0" w:color="auto"/>
              <w:right w:val="nil"/>
            </w:tcBorders>
            <w:vAlign w:val="bottom"/>
          </w:tcPr>
          <w:p w14:paraId="6A571376" w14:textId="77777777" w:rsidR="003822EA" w:rsidRPr="00F35544" w:rsidRDefault="003822EA" w:rsidP="003822EA">
            <w:pPr>
              <w:rPr>
                <w:sz w:val="20"/>
                <w:lang w:val="en-CA"/>
              </w:rPr>
            </w:pPr>
            <w:r w:rsidRPr="00F35544">
              <w:rPr>
                <w:sz w:val="20"/>
                <w:lang w:val="en-CA"/>
              </w:rPr>
              <w:t>$2,205,000</w:t>
            </w:r>
          </w:p>
        </w:tc>
        <w:tc>
          <w:tcPr>
            <w:tcW w:w="1364" w:type="dxa"/>
            <w:tcBorders>
              <w:top w:val="single" w:sz="4" w:space="0" w:color="auto"/>
              <w:left w:val="nil"/>
              <w:bottom w:val="double" w:sz="4" w:space="0" w:color="auto"/>
              <w:right w:val="nil"/>
            </w:tcBorders>
          </w:tcPr>
          <w:p w14:paraId="29929326" w14:textId="77777777" w:rsidR="003822EA" w:rsidRPr="00F35544" w:rsidRDefault="003822EA" w:rsidP="002D2036">
            <w:pPr>
              <w:rPr>
                <w:sz w:val="20"/>
                <w:lang w:val="en-CA"/>
              </w:rPr>
            </w:pPr>
            <w:r w:rsidRPr="00F35544">
              <w:rPr>
                <w:sz w:val="20"/>
                <w:lang w:val="en-CA"/>
              </w:rPr>
              <w:t xml:space="preserve">No variances anticipated. </w:t>
            </w:r>
          </w:p>
        </w:tc>
      </w:tr>
      <w:tr w:rsidR="003822EA" w:rsidRPr="002B6262" w14:paraId="082461A0" w14:textId="77777777" w:rsidTr="002B6262">
        <w:trPr>
          <w:gridAfter w:val="1"/>
          <w:wAfter w:w="32" w:type="dxa"/>
          <w:trHeight w:val="205"/>
        </w:trPr>
        <w:tc>
          <w:tcPr>
            <w:tcW w:w="2554" w:type="dxa"/>
            <w:tcBorders>
              <w:top w:val="single" w:sz="4" w:space="0" w:color="auto"/>
              <w:left w:val="nil"/>
              <w:bottom w:val="double" w:sz="4" w:space="0" w:color="auto"/>
            </w:tcBorders>
          </w:tcPr>
          <w:p w14:paraId="376B8946" w14:textId="77777777" w:rsidR="003822EA" w:rsidRPr="00F35544" w:rsidRDefault="003822EA" w:rsidP="003822EA">
            <w:pPr>
              <w:rPr>
                <w:sz w:val="20"/>
                <w:lang w:val="en-CA"/>
              </w:rPr>
            </w:pPr>
            <w:r w:rsidRPr="00F35544">
              <w:rPr>
                <w:sz w:val="20"/>
                <w:lang w:val="en-CA"/>
              </w:rPr>
              <w:t>Total</w:t>
            </w:r>
          </w:p>
        </w:tc>
        <w:tc>
          <w:tcPr>
            <w:tcW w:w="1496" w:type="dxa"/>
            <w:tcBorders>
              <w:top w:val="single" w:sz="4" w:space="0" w:color="auto"/>
              <w:bottom w:val="double" w:sz="4" w:space="0" w:color="auto"/>
              <w:right w:val="nil"/>
            </w:tcBorders>
          </w:tcPr>
          <w:p w14:paraId="337E0232" w14:textId="77777777" w:rsidR="003822EA" w:rsidRPr="00F35544" w:rsidRDefault="003822EA" w:rsidP="003822EA">
            <w:pPr>
              <w:rPr>
                <w:sz w:val="20"/>
                <w:lang w:val="en-CA"/>
              </w:rPr>
            </w:pPr>
            <w:r w:rsidRPr="00F35544">
              <w:rPr>
                <w:sz w:val="20"/>
                <w:lang w:val="en-CA"/>
              </w:rPr>
              <w:t>$2,205,000</w:t>
            </w:r>
          </w:p>
        </w:tc>
        <w:tc>
          <w:tcPr>
            <w:tcW w:w="2430" w:type="dxa"/>
            <w:tcBorders>
              <w:top w:val="single" w:sz="4" w:space="0" w:color="auto"/>
              <w:left w:val="nil"/>
              <w:bottom w:val="double" w:sz="4" w:space="0" w:color="auto"/>
            </w:tcBorders>
          </w:tcPr>
          <w:p w14:paraId="042701BF" w14:textId="77777777" w:rsidR="003822EA" w:rsidRPr="00F35544" w:rsidRDefault="003822EA" w:rsidP="003822EA">
            <w:pPr>
              <w:rPr>
                <w:sz w:val="20"/>
                <w:lang w:val="en-CA"/>
              </w:rPr>
            </w:pPr>
            <w:r w:rsidRPr="00F35544">
              <w:rPr>
                <w:sz w:val="20"/>
                <w:lang w:val="en-CA"/>
              </w:rPr>
              <w:t>Total to date</w:t>
            </w:r>
          </w:p>
        </w:tc>
        <w:tc>
          <w:tcPr>
            <w:tcW w:w="1494" w:type="dxa"/>
            <w:tcBorders>
              <w:top w:val="single" w:sz="4" w:space="0" w:color="auto"/>
              <w:bottom w:val="double" w:sz="4" w:space="0" w:color="auto"/>
              <w:right w:val="nil"/>
            </w:tcBorders>
            <w:vAlign w:val="bottom"/>
          </w:tcPr>
          <w:p w14:paraId="677ABE19" w14:textId="77777777" w:rsidR="003822EA" w:rsidRPr="00F35544" w:rsidRDefault="003822EA" w:rsidP="003822EA">
            <w:pPr>
              <w:rPr>
                <w:sz w:val="20"/>
                <w:lang w:val="en-CA"/>
              </w:rPr>
            </w:pPr>
            <w:r w:rsidRPr="00F35544">
              <w:rPr>
                <w:sz w:val="20"/>
                <w:lang w:val="en-CA"/>
              </w:rPr>
              <w:t>$2,205,000</w:t>
            </w:r>
          </w:p>
        </w:tc>
        <w:tc>
          <w:tcPr>
            <w:tcW w:w="1364" w:type="dxa"/>
            <w:tcBorders>
              <w:top w:val="single" w:sz="4" w:space="0" w:color="auto"/>
              <w:left w:val="nil"/>
              <w:bottom w:val="double" w:sz="4" w:space="0" w:color="auto"/>
              <w:right w:val="nil"/>
            </w:tcBorders>
          </w:tcPr>
          <w:p w14:paraId="6ADBAA62" w14:textId="77777777" w:rsidR="003822EA" w:rsidRPr="00F35544" w:rsidRDefault="003822EA" w:rsidP="002D2036">
            <w:pPr>
              <w:rPr>
                <w:sz w:val="20"/>
                <w:lang w:val="en-CA"/>
              </w:rPr>
            </w:pPr>
          </w:p>
        </w:tc>
      </w:tr>
    </w:tbl>
    <w:p w14:paraId="126736D6" w14:textId="77777777" w:rsidR="006B13BF" w:rsidRDefault="006B13BF" w:rsidP="002B6262">
      <w:pPr>
        <w:rPr>
          <w:sz w:val="20"/>
          <w:lang w:val="en-CA"/>
        </w:rPr>
      </w:pPr>
    </w:p>
    <w:p w14:paraId="76C1D984" w14:textId="01CF8D2A" w:rsidR="006C4BB1" w:rsidRDefault="00DF37EB" w:rsidP="006C4BB1">
      <w:pPr>
        <w:autoSpaceDE w:val="0"/>
        <w:autoSpaceDN w:val="0"/>
        <w:adjustRightInd w:val="0"/>
        <w:jc w:val="both"/>
        <w:rPr>
          <w:b/>
          <w:sz w:val="20"/>
        </w:rPr>
      </w:pPr>
      <w:r w:rsidRPr="004427A8">
        <w:rPr>
          <w:sz w:val="20"/>
          <w:lang w:val="en-CA"/>
        </w:rPr>
        <w:t xml:space="preserve">As of the date of this MD&amp;A, the Company has begun to use the funds as intended.  The Company will use the gross proceeds raised from the private placements to incur qualifying Canadian exploration expenditures on its projects. The Company expects that the exploration expenditures to be incurred in fiscal </w:t>
      </w:r>
      <w:proofErr w:type="gramStart"/>
      <w:r w:rsidRPr="004427A8">
        <w:rPr>
          <w:sz w:val="20"/>
          <w:lang w:val="en-CA"/>
        </w:rPr>
        <w:t>20</w:t>
      </w:r>
      <w:r>
        <w:rPr>
          <w:sz w:val="20"/>
          <w:lang w:val="en-CA"/>
        </w:rPr>
        <w:t>20</w:t>
      </w:r>
      <w:r w:rsidRPr="004427A8">
        <w:rPr>
          <w:sz w:val="20"/>
          <w:lang w:val="en-CA"/>
        </w:rPr>
        <w:t>,</w:t>
      </w:r>
      <w:proofErr w:type="gramEnd"/>
      <w:r w:rsidRPr="004427A8">
        <w:rPr>
          <w:sz w:val="20"/>
          <w:lang w:val="en-CA"/>
        </w:rPr>
        <w:t xml:space="preserve"> will exceed the $3,565,410 flow-through financing renounced in the 2018 taxation year.  See Exploration and Development Strategy section.</w:t>
      </w:r>
      <w:bookmarkStart w:id="1" w:name="_Hlk503176053"/>
    </w:p>
    <w:p w14:paraId="05C2851B" w14:textId="77777777" w:rsidR="006C4BB1" w:rsidRDefault="006C4BB1" w:rsidP="006C4BB1">
      <w:pPr>
        <w:autoSpaceDE w:val="0"/>
        <w:autoSpaceDN w:val="0"/>
        <w:adjustRightInd w:val="0"/>
        <w:jc w:val="both"/>
        <w:rPr>
          <w:b/>
          <w:sz w:val="20"/>
        </w:rPr>
      </w:pPr>
    </w:p>
    <w:p w14:paraId="127922DF" w14:textId="77777777" w:rsidR="005627D1" w:rsidRPr="00F35544" w:rsidRDefault="008645C7" w:rsidP="006C4BB1">
      <w:pPr>
        <w:autoSpaceDE w:val="0"/>
        <w:autoSpaceDN w:val="0"/>
        <w:adjustRightInd w:val="0"/>
        <w:jc w:val="both"/>
        <w:rPr>
          <w:b/>
          <w:spacing w:val="-2"/>
          <w:sz w:val="20"/>
        </w:rPr>
      </w:pPr>
      <w:r>
        <w:rPr>
          <w:b/>
          <w:sz w:val="20"/>
        </w:rPr>
        <w:br w:type="page"/>
      </w:r>
      <w:r w:rsidR="007C5DB2">
        <w:rPr>
          <w:b/>
          <w:sz w:val="20"/>
        </w:rPr>
        <w:lastRenderedPageBreak/>
        <w:t>P</w:t>
      </w:r>
      <w:r w:rsidR="007E0B3B" w:rsidRPr="00F35544">
        <w:rPr>
          <w:b/>
          <w:sz w:val="20"/>
        </w:rPr>
        <w:t>ROPERTIES</w:t>
      </w:r>
    </w:p>
    <w:p w14:paraId="4C3B721E" w14:textId="77777777" w:rsidR="00F4799A" w:rsidRPr="00F35544" w:rsidRDefault="00F4799A" w:rsidP="000A4D1B">
      <w:pPr>
        <w:autoSpaceDE w:val="0"/>
        <w:autoSpaceDN w:val="0"/>
        <w:adjustRightInd w:val="0"/>
        <w:ind w:left="425" w:hanging="425"/>
        <w:jc w:val="both"/>
        <w:rPr>
          <w:b/>
          <w:sz w:val="20"/>
        </w:rPr>
      </w:pPr>
    </w:p>
    <w:p w14:paraId="1F95D014" w14:textId="74C421F5" w:rsidR="00DF37EB" w:rsidRDefault="00DF37EB" w:rsidP="00DF37EB">
      <w:pPr>
        <w:autoSpaceDE w:val="0"/>
        <w:autoSpaceDN w:val="0"/>
        <w:adjustRightInd w:val="0"/>
        <w:jc w:val="both"/>
        <w:rPr>
          <w:sz w:val="20"/>
        </w:rPr>
      </w:pPr>
      <w:r w:rsidRPr="004427A8">
        <w:rPr>
          <w:sz w:val="20"/>
        </w:rPr>
        <w:t xml:space="preserve">The Company capitalized the following acquisition cost during the </w:t>
      </w:r>
      <w:r w:rsidR="00ED714D">
        <w:rPr>
          <w:sz w:val="20"/>
        </w:rPr>
        <w:t>period ended June 30, 2020 and for the year</w:t>
      </w:r>
      <w:r w:rsidRPr="004427A8">
        <w:rPr>
          <w:sz w:val="20"/>
        </w:rPr>
        <w:t xml:space="preserve"> ended </w:t>
      </w:r>
      <w:r>
        <w:rPr>
          <w:sz w:val="20"/>
        </w:rPr>
        <w:t>March 31, 2020</w:t>
      </w:r>
      <w:r w:rsidRPr="004427A8">
        <w:rPr>
          <w:sz w:val="20"/>
        </w:rPr>
        <w:t>:</w:t>
      </w:r>
    </w:p>
    <w:p w14:paraId="515C4750" w14:textId="77777777" w:rsidR="00FA24EB" w:rsidRDefault="007C5DB2" w:rsidP="007C5DB2">
      <w:pPr>
        <w:tabs>
          <w:tab w:val="left" w:pos="8099"/>
        </w:tabs>
        <w:adjustRightInd w:val="0"/>
        <w:jc w:val="both"/>
        <w:rPr>
          <w:sz w:val="20"/>
        </w:rPr>
      </w:pPr>
      <w:r>
        <w:rPr>
          <w:sz w:val="20"/>
        </w:rPr>
        <w:tab/>
      </w:r>
    </w:p>
    <w:tbl>
      <w:tblPr>
        <w:tblW w:w="8068" w:type="dxa"/>
        <w:tblInd w:w="108" w:type="dxa"/>
        <w:tblLayout w:type="fixed"/>
        <w:tblLook w:val="04A0" w:firstRow="1" w:lastRow="0" w:firstColumn="1" w:lastColumn="0" w:noHBand="0" w:noVBand="1"/>
      </w:tblPr>
      <w:tblGrid>
        <w:gridCol w:w="3240"/>
        <w:gridCol w:w="1159"/>
        <w:gridCol w:w="1159"/>
        <w:gridCol w:w="1255"/>
        <w:gridCol w:w="1255"/>
      </w:tblGrid>
      <w:tr w:rsidR="00F41CB5" w:rsidRPr="0050090B" w14:paraId="16CCA372" w14:textId="77777777" w:rsidTr="00F41CB5">
        <w:trPr>
          <w:trHeight w:val="73"/>
        </w:trPr>
        <w:tc>
          <w:tcPr>
            <w:tcW w:w="3240" w:type="dxa"/>
            <w:tcBorders>
              <w:top w:val="double" w:sz="4" w:space="0" w:color="auto"/>
              <w:left w:val="nil"/>
              <w:bottom w:val="single" w:sz="4" w:space="0" w:color="auto"/>
              <w:right w:val="nil"/>
            </w:tcBorders>
            <w:shd w:val="clear" w:color="auto" w:fill="auto"/>
            <w:noWrap/>
            <w:vAlign w:val="bottom"/>
            <w:hideMark/>
          </w:tcPr>
          <w:p w14:paraId="5C289CCE" w14:textId="77777777" w:rsidR="00F41CB5" w:rsidRPr="0050090B" w:rsidRDefault="00F41CB5" w:rsidP="00A72820">
            <w:pPr>
              <w:widowControl/>
              <w:rPr>
                <w:sz w:val="20"/>
              </w:rPr>
            </w:pPr>
            <w:r w:rsidRPr="0050090B">
              <w:rPr>
                <w:sz w:val="20"/>
              </w:rPr>
              <w:t> </w:t>
            </w:r>
          </w:p>
        </w:tc>
        <w:tc>
          <w:tcPr>
            <w:tcW w:w="1159" w:type="dxa"/>
            <w:tcBorders>
              <w:top w:val="double" w:sz="4" w:space="0" w:color="auto"/>
              <w:left w:val="nil"/>
              <w:bottom w:val="single" w:sz="4" w:space="0" w:color="auto"/>
              <w:right w:val="nil"/>
            </w:tcBorders>
            <w:vAlign w:val="bottom"/>
          </w:tcPr>
          <w:p w14:paraId="1D147563" w14:textId="77777777" w:rsidR="00F41CB5" w:rsidRPr="0050090B" w:rsidRDefault="00F41CB5" w:rsidP="00A72820">
            <w:pPr>
              <w:widowControl/>
              <w:jc w:val="right"/>
              <w:rPr>
                <w:b/>
                <w:bCs/>
                <w:sz w:val="20"/>
              </w:rPr>
            </w:pPr>
            <w:r w:rsidRPr="0050090B">
              <w:rPr>
                <w:b/>
                <w:bCs/>
                <w:sz w:val="20"/>
              </w:rPr>
              <w:t>Meguma Project</w:t>
            </w:r>
          </w:p>
          <w:p w14:paraId="34E815AE" w14:textId="77777777" w:rsidR="00F41CB5" w:rsidRPr="0050090B" w:rsidRDefault="00F41CB5" w:rsidP="00A72820">
            <w:pPr>
              <w:widowControl/>
              <w:jc w:val="right"/>
              <w:rPr>
                <w:b/>
                <w:bCs/>
                <w:sz w:val="20"/>
              </w:rPr>
            </w:pPr>
            <w:r w:rsidRPr="0050090B">
              <w:rPr>
                <w:b/>
                <w:bCs/>
                <w:sz w:val="20"/>
              </w:rPr>
              <w:t xml:space="preserve"> $</w:t>
            </w:r>
          </w:p>
        </w:tc>
        <w:tc>
          <w:tcPr>
            <w:tcW w:w="1159" w:type="dxa"/>
            <w:tcBorders>
              <w:top w:val="double" w:sz="4" w:space="0" w:color="auto"/>
              <w:left w:val="nil"/>
              <w:bottom w:val="single" w:sz="4" w:space="0" w:color="auto"/>
              <w:right w:val="nil"/>
            </w:tcBorders>
            <w:vAlign w:val="bottom"/>
          </w:tcPr>
          <w:p w14:paraId="46948F53" w14:textId="77777777" w:rsidR="00F41CB5" w:rsidRPr="0050090B" w:rsidRDefault="00F41CB5" w:rsidP="00A72820">
            <w:pPr>
              <w:widowControl/>
              <w:jc w:val="right"/>
              <w:rPr>
                <w:b/>
                <w:bCs/>
                <w:sz w:val="20"/>
              </w:rPr>
            </w:pPr>
            <w:r w:rsidRPr="0050090B">
              <w:rPr>
                <w:b/>
                <w:bCs/>
                <w:sz w:val="20"/>
              </w:rPr>
              <w:t>Cariboo Project</w:t>
            </w:r>
          </w:p>
          <w:p w14:paraId="4C4B3832" w14:textId="77777777" w:rsidR="00F41CB5" w:rsidRPr="0050090B" w:rsidRDefault="00F41CB5" w:rsidP="00A72820">
            <w:pPr>
              <w:widowControl/>
              <w:jc w:val="right"/>
              <w:rPr>
                <w:b/>
                <w:bCs/>
                <w:sz w:val="20"/>
              </w:rPr>
            </w:pPr>
            <w:r w:rsidRPr="0050090B">
              <w:rPr>
                <w:b/>
                <w:bCs/>
                <w:sz w:val="20"/>
              </w:rPr>
              <w:t xml:space="preserve"> $</w:t>
            </w:r>
          </w:p>
        </w:tc>
        <w:tc>
          <w:tcPr>
            <w:tcW w:w="1255" w:type="dxa"/>
            <w:tcBorders>
              <w:top w:val="double" w:sz="4" w:space="0" w:color="auto"/>
              <w:left w:val="nil"/>
              <w:bottom w:val="single" w:sz="4" w:space="0" w:color="auto"/>
              <w:right w:val="nil"/>
            </w:tcBorders>
          </w:tcPr>
          <w:p w14:paraId="0E2C20FA" w14:textId="77777777" w:rsidR="00F41CB5" w:rsidRDefault="00F41CB5" w:rsidP="00A72820">
            <w:pPr>
              <w:widowControl/>
              <w:jc w:val="right"/>
              <w:rPr>
                <w:b/>
                <w:bCs/>
                <w:sz w:val="20"/>
              </w:rPr>
            </w:pPr>
            <w:r>
              <w:rPr>
                <w:b/>
                <w:bCs/>
                <w:sz w:val="20"/>
              </w:rPr>
              <w:t>Palladium project</w:t>
            </w:r>
          </w:p>
          <w:p w14:paraId="32589AFB" w14:textId="350F35D0" w:rsidR="00F41CB5" w:rsidRPr="0050090B" w:rsidRDefault="00F41CB5" w:rsidP="00A72820">
            <w:pPr>
              <w:widowControl/>
              <w:jc w:val="right"/>
              <w:rPr>
                <w:b/>
                <w:bCs/>
                <w:sz w:val="20"/>
              </w:rPr>
            </w:pPr>
            <w:r>
              <w:rPr>
                <w:b/>
                <w:bCs/>
                <w:sz w:val="20"/>
              </w:rPr>
              <w:t>$</w:t>
            </w:r>
          </w:p>
        </w:tc>
        <w:tc>
          <w:tcPr>
            <w:tcW w:w="1255" w:type="dxa"/>
            <w:tcBorders>
              <w:top w:val="double" w:sz="4" w:space="0" w:color="auto"/>
              <w:left w:val="nil"/>
              <w:bottom w:val="single" w:sz="4" w:space="0" w:color="auto"/>
              <w:right w:val="nil"/>
            </w:tcBorders>
            <w:vAlign w:val="bottom"/>
          </w:tcPr>
          <w:p w14:paraId="75D85451" w14:textId="38A1CD95" w:rsidR="00F41CB5" w:rsidRPr="0050090B" w:rsidRDefault="00F41CB5" w:rsidP="00A72820">
            <w:pPr>
              <w:widowControl/>
              <w:jc w:val="right"/>
              <w:rPr>
                <w:b/>
                <w:bCs/>
                <w:sz w:val="20"/>
              </w:rPr>
            </w:pPr>
            <w:r w:rsidRPr="0050090B">
              <w:rPr>
                <w:b/>
                <w:bCs/>
                <w:sz w:val="20"/>
              </w:rPr>
              <w:t xml:space="preserve">Total </w:t>
            </w:r>
          </w:p>
          <w:p w14:paraId="0727A409" w14:textId="77777777" w:rsidR="00F41CB5" w:rsidRPr="0050090B" w:rsidRDefault="00F41CB5" w:rsidP="00A72820">
            <w:pPr>
              <w:widowControl/>
              <w:jc w:val="right"/>
              <w:rPr>
                <w:b/>
                <w:bCs/>
                <w:sz w:val="20"/>
              </w:rPr>
            </w:pPr>
            <w:r w:rsidRPr="0050090B">
              <w:rPr>
                <w:b/>
                <w:bCs/>
                <w:sz w:val="20"/>
              </w:rPr>
              <w:t>$</w:t>
            </w:r>
          </w:p>
        </w:tc>
      </w:tr>
      <w:tr w:rsidR="00F41CB5" w:rsidRPr="0050090B" w14:paraId="2E8FF076" w14:textId="77777777" w:rsidTr="00F41CB5">
        <w:trPr>
          <w:trHeight w:val="25"/>
        </w:trPr>
        <w:tc>
          <w:tcPr>
            <w:tcW w:w="3240" w:type="dxa"/>
            <w:tcBorders>
              <w:top w:val="single" w:sz="4" w:space="0" w:color="auto"/>
              <w:left w:val="nil"/>
              <w:right w:val="nil"/>
            </w:tcBorders>
            <w:shd w:val="clear" w:color="auto" w:fill="auto"/>
            <w:noWrap/>
            <w:vAlign w:val="bottom"/>
          </w:tcPr>
          <w:p w14:paraId="43A70C67" w14:textId="77777777" w:rsidR="00F41CB5" w:rsidRPr="0050090B" w:rsidRDefault="00F41CB5" w:rsidP="00A72820">
            <w:pPr>
              <w:widowControl/>
              <w:rPr>
                <w:b/>
                <w:sz w:val="20"/>
              </w:rPr>
            </w:pPr>
            <w:r w:rsidRPr="0050090B">
              <w:rPr>
                <w:b/>
                <w:sz w:val="20"/>
              </w:rPr>
              <w:t>Balance, March 31, 2019</w:t>
            </w:r>
          </w:p>
        </w:tc>
        <w:tc>
          <w:tcPr>
            <w:tcW w:w="1159" w:type="dxa"/>
            <w:tcBorders>
              <w:top w:val="single" w:sz="4" w:space="0" w:color="auto"/>
              <w:left w:val="nil"/>
              <w:right w:val="nil"/>
            </w:tcBorders>
          </w:tcPr>
          <w:p w14:paraId="7A93A9E6" w14:textId="77777777" w:rsidR="00F41CB5" w:rsidRPr="00263F52" w:rsidRDefault="00F41CB5" w:rsidP="00A72820">
            <w:pPr>
              <w:widowControl/>
              <w:jc w:val="right"/>
              <w:rPr>
                <w:b/>
                <w:bCs/>
                <w:sz w:val="20"/>
              </w:rPr>
            </w:pPr>
            <w:r w:rsidRPr="00263F52">
              <w:rPr>
                <w:b/>
                <w:bCs/>
                <w:sz w:val="20"/>
              </w:rPr>
              <w:t>7,725,374</w:t>
            </w:r>
          </w:p>
        </w:tc>
        <w:tc>
          <w:tcPr>
            <w:tcW w:w="1159" w:type="dxa"/>
            <w:tcBorders>
              <w:top w:val="single" w:sz="4" w:space="0" w:color="auto"/>
              <w:left w:val="nil"/>
              <w:right w:val="nil"/>
            </w:tcBorders>
          </w:tcPr>
          <w:p w14:paraId="0DE9DEA2" w14:textId="77777777" w:rsidR="00F41CB5" w:rsidRPr="00263F52" w:rsidRDefault="00F41CB5" w:rsidP="00A72820">
            <w:pPr>
              <w:widowControl/>
              <w:jc w:val="right"/>
              <w:rPr>
                <w:b/>
                <w:bCs/>
                <w:sz w:val="20"/>
              </w:rPr>
            </w:pPr>
            <w:r w:rsidRPr="00263F52">
              <w:rPr>
                <w:b/>
                <w:bCs/>
                <w:sz w:val="20"/>
              </w:rPr>
              <w:t>4,400,000</w:t>
            </w:r>
          </w:p>
        </w:tc>
        <w:tc>
          <w:tcPr>
            <w:tcW w:w="1255" w:type="dxa"/>
            <w:tcBorders>
              <w:top w:val="single" w:sz="4" w:space="0" w:color="auto"/>
              <w:left w:val="nil"/>
              <w:right w:val="nil"/>
            </w:tcBorders>
          </w:tcPr>
          <w:p w14:paraId="4FBA8F16" w14:textId="6992146F" w:rsidR="00F41CB5" w:rsidRPr="00263F52" w:rsidRDefault="00F41CB5" w:rsidP="00A72820">
            <w:pPr>
              <w:widowControl/>
              <w:jc w:val="right"/>
              <w:rPr>
                <w:b/>
                <w:bCs/>
                <w:sz w:val="20"/>
              </w:rPr>
            </w:pPr>
            <w:r>
              <w:rPr>
                <w:b/>
                <w:bCs/>
                <w:sz w:val="20"/>
              </w:rPr>
              <w:t>-</w:t>
            </w:r>
          </w:p>
        </w:tc>
        <w:tc>
          <w:tcPr>
            <w:tcW w:w="1255" w:type="dxa"/>
            <w:tcBorders>
              <w:top w:val="single" w:sz="4" w:space="0" w:color="auto"/>
              <w:left w:val="nil"/>
              <w:right w:val="nil"/>
            </w:tcBorders>
            <w:shd w:val="clear" w:color="auto" w:fill="auto"/>
            <w:vAlign w:val="bottom"/>
          </w:tcPr>
          <w:p w14:paraId="2E0C7276" w14:textId="0C3E5E76" w:rsidR="00F41CB5" w:rsidRPr="00263F52" w:rsidRDefault="00F41CB5" w:rsidP="00A72820">
            <w:pPr>
              <w:widowControl/>
              <w:jc w:val="right"/>
              <w:rPr>
                <w:b/>
                <w:bCs/>
                <w:sz w:val="20"/>
              </w:rPr>
            </w:pPr>
            <w:r w:rsidRPr="00263F52">
              <w:rPr>
                <w:b/>
                <w:bCs/>
                <w:sz w:val="20"/>
              </w:rPr>
              <w:t>12,125,374</w:t>
            </w:r>
          </w:p>
        </w:tc>
      </w:tr>
      <w:tr w:rsidR="00F41CB5" w:rsidRPr="0050090B" w14:paraId="31932A33" w14:textId="77777777" w:rsidTr="00F41CB5">
        <w:trPr>
          <w:trHeight w:val="25"/>
        </w:trPr>
        <w:tc>
          <w:tcPr>
            <w:tcW w:w="3240" w:type="dxa"/>
            <w:tcBorders>
              <w:left w:val="nil"/>
              <w:right w:val="nil"/>
            </w:tcBorders>
            <w:shd w:val="clear" w:color="auto" w:fill="auto"/>
            <w:noWrap/>
            <w:vAlign w:val="bottom"/>
          </w:tcPr>
          <w:p w14:paraId="6A2FE45F" w14:textId="77777777" w:rsidR="00F41CB5" w:rsidRPr="0050090B" w:rsidRDefault="00F41CB5" w:rsidP="00F704C7">
            <w:pPr>
              <w:widowControl/>
              <w:rPr>
                <w:b/>
                <w:sz w:val="20"/>
              </w:rPr>
            </w:pPr>
            <w:r w:rsidRPr="0050090B">
              <w:rPr>
                <w:sz w:val="20"/>
              </w:rPr>
              <w:t>Acquisition costs</w:t>
            </w:r>
          </w:p>
        </w:tc>
        <w:tc>
          <w:tcPr>
            <w:tcW w:w="1159" w:type="dxa"/>
            <w:tcBorders>
              <w:left w:val="nil"/>
              <w:right w:val="nil"/>
            </w:tcBorders>
            <w:shd w:val="clear" w:color="auto" w:fill="auto"/>
          </w:tcPr>
          <w:p w14:paraId="4A59027A" w14:textId="77777777" w:rsidR="00F41CB5" w:rsidRPr="0050090B" w:rsidRDefault="00F41CB5" w:rsidP="00F704C7">
            <w:pPr>
              <w:widowControl/>
              <w:jc w:val="right"/>
              <w:rPr>
                <w:sz w:val="20"/>
              </w:rPr>
            </w:pPr>
            <w:r>
              <w:rPr>
                <w:sz w:val="20"/>
              </w:rPr>
              <w:t>155,054</w:t>
            </w:r>
          </w:p>
        </w:tc>
        <w:tc>
          <w:tcPr>
            <w:tcW w:w="1159" w:type="dxa"/>
            <w:tcBorders>
              <w:left w:val="nil"/>
              <w:right w:val="nil"/>
            </w:tcBorders>
            <w:shd w:val="clear" w:color="auto" w:fill="auto"/>
          </w:tcPr>
          <w:p w14:paraId="53C0E6B9" w14:textId="77777777" w:rsidR="00F41CB5" w:rsidRPr="0050090B" w:rsidRDefault="00F41CB5" w:rsidP="00F704C7">
            <w:pPr>
              <w:widowControl/>
              <w:jc w:val="right"/>
              <w:rPr>
                <w:sz w:val="20"/>
              </w:rPr>
            </w:pPr>
            <w:r w:rsidRPr="0050090B">
              <w:rPr>
                <w:sz w:val="20"/>
              </w:rPr>
              <w:t>-</w:t>
            </w:r>
          </w:p>
        </w:tc>
        <w:tc>
          <w:tcPr>
            <w:tcW w:w="1255" w:type="dxa"/>
            <w:tcBorders>
              <w:left w:val="nil"/>
              <w:right w:val="nil"/>
            </w:tcBorders>
          </w:tcPr>
          <w:p w14:paraId="472B00A6" w14:textId="77777777" w:rsidR="00F41CB5" w:rsidRDefault="00F41CB5" w:rsidP="00F704C7">
            <w:pPr>
              <w:widowControl/>
              <w:jc w:val="right"/>
              <w:rPr>
                <w:sz w:val="20"/>
              </w:rPr>
            </w:pPr>
            <w:r>
              <w:rPr>
                <w:sz w:val="20"/>
              </w:rPr>
              <w:t>965,000</w:t>
            </w:r>
          </w:p>
        </w:tc>
        <w:tc>
          <w:tcPr>
            <w:tcW w:w="1255" w:type="dxa"/>
            <w:tcBorders>
              <w:left w:val="nil"/>
              <w:right w:val="nil"/>
            </w:tcBorders>
            <w:shd w:val="clear" w:color="auto" w:fill="auto"/>
          </w:tcPr>
          <w:p w14:paraId="57C4BCFD" w14:textId="77777777" w:rsidR="00F41CB5" w:rsidRPr="0050090B" w:rsidRDefault="00F41CB5" w:rsidP="00F704C7">
            <w:pPr>
              <w:widowControl/>
              <w:jc w:val="right"/>
              <w:rPr>
                <w:sz w:val="20"/>
              </w:rPr>
            </w:pPr>
            <w:r>
              <w:rPr>
                <w:sz w:val="20"/>
              </w:rPr>
              <w:t>1,120,054</w:t>
            </w:r>
          </w:p>
        </w:tc>
      </w:tr>
      <w:tr w:rsidR="00F41CB5" w:rsidRPr="0050090B" w14:paraId="7ABBD8BF" w14:textId="77777777" w:rsidTr="00F41CB5">
        <w:trPr>
          <w:trHeight w:val="25"/>
        </w:trPr>
        <w:tc>
          <w:tcPr>
            <w:tcW w:w="3240" w:type="dxa"/>
            <w:tcBorders>
              <w:left w:val="nil"/>
              <w:right w:val="nil"/>
            </w:tcBorders>
            <w:shd w:val="clear" w:color="auto" w:fill="auto"/>
            <w:noWrap/>
            <w:vAlign w:val="bottom"/>
          </w:tcPr>
          <w:p w14:paraId="75C6BCC4" w14:textId="77777777" w:rsidR="00F41CB5" w:rsidRPr="0050090B" w:rsidRDefault="00F41CB5" w:rsidP="00F704C7">
            <w:pPr>
              <w:widowControl/>
              <w:rPr>
                <w:sz w:val="20"/>
              </w:rPr>
            </w:pPr>
            <w:r w:rsidRPr="000206BE">
              <w:rPr>
                <w:sz w:val="20"/>
              </w:rPr>
              <w:t>Mining rights</w:t>
            </w:r>
          </w:p>
        </w:tc>
        <w:tc>
          <w:tcPr>
            <w:tcW w:w="1159" w:type="dxa"/>
            <w:tcBorders>
              <w:left w:val="nil"/>
              <w:right w:val="nil"/>
            </w:tcBorders>
            <w:shd w:val="clear" w:color="auto" w:fill="auto"/>
          </w:tcPr>
          <w:p w14:paraId="6444AE07" w14:textId="77777777" w:rsidR="00F41CB5" w:rsidRDefault="00F41CB5" w:rsidP="00F704C7">
            <w:pPr>
              <w:widowControl/>
              <w:jc w:val="right"/>
              <w:rPr>
                <w:sz w:val="20"/>
              </w:rPr>
            </w:pPr>
            <w:r>
              <w:rPr>
                <w:sz w:val="20"/>
              </w:rPr>
              <w:t>(17,652)</w:t>
            </w:r>
          </w:p>
        </w:tc>
        <w:tc>
          <w:tcPr>
            <w:tcW w:w="1159" w:type="dxa"/>
            <w:tcBorders>
              <w:left w:val="nil"/>
              <w:right w:val="nil"/>
            </w:tcBorders>
            <w:shd w:val="clear" w:color="auto" w:fill="auto"/>
            <w:vAlign w:val="bottom"/>
          </w:tcPr>
          <w:p w14:paraId="39D52214" w14:textId="77777777" w:rsidR="00F41CB5" w:rsidRPr="0050090B" w:rsidRDefault="00F41CB5" w:rsidP="00F704C7">
            <w:pPr>
              <w:widowControl/>
              <w:jc w:val="right"/>
              <w:rPr>
                <w:sz w:val="20"/>
              </w:rPr>
            </w:pPr>
            <w:r>
              <w:rPr>
                <w:sz w:val="20"/>
              </w:rPr>
              <w:t>-</w:t>
            </w:r>
          </w:p>
        </w:tc>
        <w:tc>
          <w:tcPr>
            <w:tcW w:w="1255" w:type="dxa"/>
            <w:tcBorders>
              <w:left w:val="nil"/>
              <w:right w:val="nil"/>
            </w:tcBorders>
          </w:tcPr>
          <w:p w14:paraId="68219F82" w14:textId="77777777" w:rsidR="00F41CB5" w:rsidRDefault="00F41CB5" w:rsidP="00F704C7">
            <w:pPr>
              <w:widowControl/>
              <w:jc w:val="right"/>
              <w:rPr>
                <w:sz w:val="20"/>
              </w:rPr>
            </w:pPr>
            <w:r>
              <w:rPr>
                <w:sz w:val="20"/>
              </w:rPr>
              <w:t>-</w:t>
            </w:r>
          </w:p>
        </w:tc>
        <w:tc>
          <w:tcPr>
            <w:tcW w:w="1255" w:type="dxa"/>
            <w:tcBorders>
              <w:left w:val="nil"/>
              <w:right w:val="nil"/>
            </w:tcBorders>
            <w:shd w:val="clear" w:color="auto" w:fill="auto"/>
          </w:tcPr>
          <w:p w14:paraId="6CF128EC" w14:textId="77777777" w:rsidR="00F41CB5" w:rsidRDefault="00F41CB5" w:rsidP="00F704C7">
            <w:pPr>
              <w:widowControl/>
              <w:jc w:val="right"/>
              <w:rPr>
                <w:sz w:val="20"/>
              </w:rPr>
            </w:pPr>
            <w:r>
              <w:rPr>
                <w:sz w:val="20"/>
              </w:rPr>
              <w:t>(17,652)</w:t>
            </w:r>
          </w:p>
        </w:tc>
      </w:tr>
      <w:tr w:rsidR="00F41CB5" w:rsidRPr="0050090B" w14:paraId="6649A494" w14:textId="77777777" w:rsidTr="00F41CB5">
        <w:trPr>
          <w:trHeight w:val="25"/>
        </w:trPr>
        <w:tc>
          <w:tcPr>
            <w:tcW w:w="3240" w:type="dxa"/>
            <w:tcBorders>
              <w:left w:val="nil"/>
              <w:right w:val="nil"/>
            </w:tcBorders>
            <w:shd w:val="clear" w:color="auto" w:fill="auto"/>
            <w:noWrap/>
            <w:vAlign w:val="bottom"/>
          </w:tcPr>
          <w:p w14:paraId="137710B3" w14:textId="77777777" w:rsidR="00F41CB5" w:rsidRPr="0050090B" w:rsidRDefault="00F41CB5" w:rsidP="00F704C7">
            <w:pPr>
              <w:widowControl/>
              <w:rPr>
                <w:sz w:val="20"/>
              </w:rPr>
            </w:pPr>
            <w:r w:rsidRPr="000206BE">
              <w:rPr>
                <w:sz w:val="20"/>
              </w:rPr>
              <w:t>Assaying</w:t>
            </w:r>
          </w:p>
        </w:tc>
        <w:tc>
          <w:tcPr>
            <w:tcW w:w="1159" w:type="dxa"/>
            <w:tcBorders>
              <w:left w:val="nil"/>
              <w:right w:val="nil"/>
            </w:tcBorders>
            <w:shd w:val="clear" w:color="auto" w:fill="auto"/>
          </w:tcPr>
          <w:p w14:paraId="59C85980" w14:textId="77777777" w:rsidR="00F41CB5" w:rsidRDefault="00F41CB5" w:rsidP="00F704C7">
            <w:pPr>
              <w:widowControl/>
              <w:jc w:val="right"/>
              <w:rPr>
                <w:sz w:val="20"/>
              </w:rPr>
            </w:pPr>
            <w:r w:rsidRPr="008927F8">
              <w:rPr>
                <w:sz w:val="20"/>
              </w:rPr>
              <w:t>198,252</w:t>
            </w:r>
          </w:p>
        </w:tc>
        <w:tc>
          <w:tcPr>
            <w:tcW w:w="1159" w:type="dxa"/>
            <w:tcBorders>
              <w:left w:val="nil"/>
              <w:right w:val="nil"/>
            </w:tcBorders>
            <w:shd w:val="clear" w:color="auto" w:fill="auto"/>
            <w:vAlign w:val="bottom"/>
          </w:tcPr>
          <w:p w14:paraId="761E5F5C" w14:textId="77777777" w:rsidR="00F41CB5" w:rsidRPr="0050090B" w:rsidRDefault="00F41CB5" w:rsidP="00F704C7">
            <w:pPr>
              <w:widowControl/>
              <w:jc w:val="right"/>
              <w:rPr>
                <w:sz w:val="20"/>
              </w:rPr>
            </w:pPr>
            <w:r>
              <w:rPr>
                <w:sz w:val="20"/>
              </w:rPr>
              <w:t>-</w:t>
            </w:r>
          </w:p>
        </w:tc>
        <w:tc>
          <w:tcPr>
            <w:tcW w:w="1255" w:type="dxa"/>
            <w:tcBorders>
              <w:left w:val="nil"/>
              <w:right w:val="nil"/>
            </w:tcBorders>
          </w:tcPr>
          <w:p w14:paraId="76EB3C4D" w14:textId="77777777" w:rsidR="00F41CB5" w:rsidRPr="008927F8" w:rsidRDefault="00F41CB5" w:rsidP="00F704C7">
            <w:pPr>
              <w:widowControl/>
              <w:jc w:val="right"/>
              <w:rPr>
                <w:sz w:val="20"/>
              </w:rPr>
            </w:pPr>
            <w:r>
              <w:rPr>
                <w:sz w:val="20"/>
              </w:rPr>
              <w:t>-</w:t>
            </w:r>
          </w:p>
        </w:tc>
        <w:tc>
          <w:tcPr>
            <w:tcW w:w="1255" w:type="dxa"/>
            <w:tcBorders>
              <w:left w:val="nil"/>
              <w:right w:val="nil"/>
            </w:tcBorders>
            <w:shd w:val="clear" w:color="auto" w:fill="auto"/>
          </w:tcPr>
          <w:p w14:paraId="39755BA5" w14:textId="77777777" w:rsidR="00F41CB5" w:rsidRDefault="00F41CB5" w:rsidP="00F704C7">
            <w:pPr>
              <w:widowControl/>
              <w:jc w:val="right"/>
              <w:rPr>
                <w:sz w:val="20"/>
              </w:rPr>
            </w:pPr>
            <w:r w:rsidRPr="008927F8">
              <w:rPr>
                <w:sz w:val="20"/>
              </w:rPr>
              <w:t>198,252</w:t>
            </w:r>
          </w:p>
        </w:tc>
      </w:tr>
      <w:tr w:rsidR="00F41CB5" w:rsidRPr="0050090B" w14:paraId="6CAE75F7" w14:textId="77777777" w:rsidTr="00F41CB5">
        <w:trPr>
          <w:trHeight w:val="25"/>
        </w:trPr>
        <w:tc>
          <w:tcPr>
            <w:tcW w:w="3240" w:type="dxa"/>
            <w:tcBorders>
              <w:left w:val="nil"/>
              <w:right w:val="nil"/>
            </w:tcBorders>
            <w:shd w:val="clear" w:color="auto" w:fill="auto"/>
            <w:noWrap/>
            <w:vAlign w:val="bottom"/>
          </w:tcPr>
          <w:p w14:paraId="323BA13A" w14:textId="77777777" w:rsidR="00F41CB5" w:rsidRPr="0050090B" w:rsidRDefault="00F41CB5" w:rsidP="00F704C7">
            <w:pPr>
              <w:widowControl/>
              <w:rPr>
                <w:sz w:val="20"/>
              </w:rPr>
            </w:pPr>
            <w:r w:rsidRPr="000206BE">
              <w:rPr>
                <w:sz w:val="20"/>
              </w:rPr>
              <w:t>Supplies</w:t>
            </w:r>
          </w:p>
        </w:tc>
        <w:tc>
          <w:tcPr>
            <w:tcW w:w="1159" w:type="dxa"/>
            <w:tcBorders>
              <w:left w:val="nil"/>
              <w:right w:val="nil"/>
            </w:tcBorders>
            <w:shd w:val="clear" w:color="auto" w:fill="auto"/>
          </w:tcPr>
          <w:p w14:paraId="34A4F148" w14:textId="77777777" w:rsidR="00F41CB5" w:rsidRDefault="00F41CB5" w:rsidP="00F704C7">
            <w:pPr>
              <w:widowControl/>
              <w:jc w:val="right"/>
              <w:rPr>
                <w:sz w:val="20"/>
              </w:rPr>
            </w:pPr>
            <w:r w:rsidRPr="008927F8">
              <w:rPr>
                <w:sz w:val="20"/>
              </w:rPr>
              <w:t>91,194</w:t>
            </w:r>
          </w:p>
        </w:tc>
        <w:tc>
          <w:tcPr>
            <w:tcW w:w="1159" w:type="dxa"/>
            <w:tcBorders>
              <w:left w:val="nil"/>
              <w:right w:val="nil"/>
            </w:tcBorders>
            <w:shd w:val="clear" w:color="auto" w:fill="auto"/>
            <w:vAlign w:val="bottom"/>
          </w:tcPr>
          <w:p w14:paraId="36C92E60" w14:textId="77777777" w:rsidR="00F41CB5" w:rsidRPr="0050090B" w:rsidRDefault="00F41CB5" w:rsidP="00F704C7">
            <w:pPr>
              <w:widowControl/>
              <w:jc w:val="right"/>
              <w:rPr>
                <w:sz w:val="20"/>
              </w:rPr>
            </w:pPr>
            <w:r>
              <w:rPr>
                <w:sz w:val="20"/>
              </w:rPr>
              <w:t>-</w:t>
            </w:r>
          </w:p>
        </w:tc>
        <w:tc>
          <w:tcPr>
            <w:tcW w:w="1255" w:type="dxa"/>
            <w:tcBorders>
              <w:left w:val="nil"/>
              <w:right w:val="nil"/>
            </w:tcBorders>
          </w:tcPr>
          <w:p w14:paraId="5898CDEA" w14:textId="77777777" w:rsidR="00F41CB5" w:rsidRPr="008927F8" w:rsidRDefault="00F41CB5" w:rsidP="00F704C7">
            <w:pPr>
              <w:widowControl/>
              <w:jc w:val="right"/>
              <w:rPr>
                <w:sz w:val="20"/>
              </w:rPr>
            </w:pPr>
            <w:r>
              <w:rPr>
                <w:sz w:val="20"/>
              </w:rPr>
              <w:t>-</w:t>
            </w:r>
          </w:p>
        </w:tc>
        <w:tc>
          <w:tcPr>
            <w:tcW w:w="1255" w:type="dxa"/>
            <w:tcBorders>
              <w:left w:val="nil"/>
              <w:right w:val="nil"/>
            </w:tcBorders>
            <w:shd w:val="clear" w:color="auto" w:fill="auto"/>
          </w:tcPr>
          <w:p w14:paraId="7920717B" w14:textId="77777777" w:rsidR="00F41CB5" w:rsidRDefault="00F41CB5" w:rsidP="00F704C7">
            <w:pPr>
              <w:widowControl/>
              <w:jc w:val="right"/>
              <w:rPr>
                <w:sz w:val="20"/>
              </w:rPr>
            </w:pPr>
            <w:r w:rsidRPr="008927F8">
              <w:rPr>
                <w:sz w:val="20"/>
              </w:rPr>
              <w:t>91,194</w:t>
            </w:r>
          </w:p>
        </w:tc>
      </w:tr>
      <w:tr w:rsidR="00F41CB5" w:rsidRPr="0050090B" w14:paraId="119E99AD" w14:textId="77777777" w:rsidTr="00F41CB5">
        <w:trPr>
          <w:trHeight w:val="25"/>
        </w:trPr>
        <w:tc>
          <w:tcPr>
            <w:tcW w:w="3240" w:type="dxa"/>
            <w:tcBorders>
              <w:left w:val="nil"/>
              <w:right w:val="nil"/>
            </w:tcBorders>
            <w:shd w:val="clear" w:color="auto" w:fill="auto"/>
            <w:noWrap/>
            <w:vAlign w:val="bottom"/>
          </w:tcPr>
          <w:p w14:paraId="7BF06F5A" w14:textId="77777777" w:rsidR="00F41CB5" w:rsidRPr="0050090B" w:rsidRDefault="00F41CB5" w:rsidP="00F704C7">
            <w:pPr>
              <w:widowControl/>
              <w:rPr>
                <w:sz w:val="20"/>
              </w:rPr>
            </w:pPr>
            <w:r w:rsidRPr="000206BE">
              <w:rPr>
                <w:sz w:val="20"/>
              </w:rPr>
              <w:t>Drilling</w:t>
            </w:r>
          </w:p>
        </w:tc>
        <w:tc>
          <w:tcPr>
            <w:tcW w:w="1159" w:type="dxa"/>
            <w:tcBorders>
              <w:left w:val="nil"/>
              <w:right w:val="nil"/>
            </w:tcBorders>
            <w:shd w:val="clear" w:color="auto" w:fill="auto"/>
          </w:tcPr>
          <w:p w14:paraId="51ECBBD1" w14:textId="77777777" w:rsidR="00F41CB5" w:rsidRDefault="00F41CB5" w:rsidP="00F704C7">
            <w:pPr>
              <w:widowControl/>
              <w:jc w:val="right"/>
              <w:rPr>
                <w:sz w:val="20"/>
              </w:rPr>
            </w:pPr>
            <w:r w:rsidRPr="008927F8">
              <w:rPr>
                <w:sz w:val="20"/>
              </w:rPr>
              <w:t>172,838</w:t>
            </w:r>
          </w:p>
        </w:tc>
        <w:tc>
          <w:tcPr>
            <w:tcW w:w="1159" w:type="dxa"/>
            <w:tcBorders>
              <w:left w:val="nil"/>
              <w:right w:val="nil"/>
            </w:tcBorders>
            <w:shd w:val="clear" w:color="auto" w:fill="auto"/>
            <w:vAlign w:val="bottom"/>
          </w:tcPr>
          <w:p w14:paraId="01EE1EF7" w14:textId="77777777" w:rsidR="00F41CB5" w:rsidRPr="0050090B" w:rsidRDefault="00F41CB5" w:rsidP="00F704C7">
            <w:pPr>
              <w:widowControl/>
              <w:jc w:val="right"/>
              <w:rPr>
                <w:sz w:val="20"/>
              </w:rPr>
            </w:pPr>
            <w:r>
              <w:rPr>
                <w:sz w:val="20"/>
              </w:rPr>
              <w:t>-</w:t>
            </w:r>
          </w:p>
        </w:tc>
        <w:tc>
          <w:tcPr>
            <w:tcW w:w="1255" w:type="dxa"/>
            <w:tcBorders>
              <w:left w:val="nil"/>
              <w:right w:val="nil"/>
            </w:tcBorders>
          </w:tcPr>
          <w:p w14:paraId="0F2D6EA6" w14:textId="77777777" w:rsidR="00F41CB5" w:rsidRPr="008927F8" w:rsidRDefault="00F41CB5" w:rsidP="00F704C7">
            <w:pPr>
              <w:widowControl/>
              <w:jc w:val="right"/>
              <w:rPr>
                <w:sz w:val="20"/>
              </w:rPr>
            </w:pPr>
            <w:r>
              <w:rPr>
                <w:sz w:val="20"/>
              </w:rPr>
              <w:t>-</w:t>
            </w:r>
          </w:p>
        </w:tc>
        <w:tc>
          <w:tcPr>
            <w:tcW w:w="1255" w:type="dxa"/>
            <w:tcBorders>
              <w:left w:val="nil"/>
              <w:right w:val="nil"/>
            </w:tcBorders>
            <w:shd w:val="clear" w:color="auto" w:fill="auto"/>
          </w:tcPr>
          <w:p w14:paraId="5CFA83C9" w14:textId="77777777" w:rsidR="00F41CB5" w:rsidRDefault="00F41CB5" w:rsidP="00F704C7">
            <w:pPr>
              <w:widowControl/>
              <w:jc w:val="right"/>
              <w:rPr>
                <w:sz w:val="20"/>
              </w:rPr>
            </w:pPr>
            <w:r w:rsidRPr="008927F8">
              <w:rPr>
                <w:sz w:val="20"/>
              </w:rPr>
              <w:t>172,838</w:t>
            </w:r>
          </w:p>
        </w:tc>
      </w:tr>
      <w:tr w:rsidR="00F41CB5" w:rsidRPr="0050090B" w14:paraId="4D5C5B61" w14:textId="77777777" w:rsidTr="00F41CB5">
        <w:trPr>
          <w:trHeight w:val="25"/>
        </w:trPr>
        <w:tc>
          <w:tcPr>
            <w:tcW w:w="3240" w:type="dxa"/>
            <w:tcBorders>
              <w:left w:val="nil"/>
              <w:right w:val="nil"/>
            </w:tcBorders>
            <w:shd w:val="clear" w:color="auto" w:fill="auto"/>
            <w:noWrap/>
            <w:vAlign w:val="bottom"/>
          </w:tcPr>
          <w:p w14:paraId="0C7A4BA8" w14:textId="77777777" w:rsidR="00F41CB5" w:rsidRPr="000206BE" w:rsidRDefault="00F41CB5" w:rsidP="00F704C7">
            <w:pPr>
              <w:widowControl/>
              <w:rPr>
                <w:sz w:val="20"/>
              </w:rPr>
            </w:pPr>
            <w:r w:rsidRPr="000206BE">
              <w:rPr>
                <w:sz w:val="20"/>
              </w:rPr>
              <w:t>Geological consultants</w:t>
            </w:r>
          </w:p>
        </w:tc>
        <w:tc>
          <w:tcPr>
            <w:tcW w:w="1159" w:type="dxa"/>
            <w:tcBorders>
              <w:left w:val="nil"/>
              <w:right w:val="nil"/>
            </w:tcBorders>
            <w:shd w:val="clear" w:color="auto" w:fill="auto"/>
            <w:vAlign w:val="bottom"/>
          </w:tcPr>
          <w:p w14:paraId="4AB51C49" w14:textId="77777777" w:rsidR="00F41CB5" w:rsidRDefault="00F41CB5" w:rsidP="00F704C7">
            <w:pPr>
              <w:widowControl/>
              <w:jc w:val="right"/>
              <w:rPr>
                <w:sz w:val="20"/>
              </w:rPr>
            </w:pPr>
            <w:r w:rsidRPr="008927F8">
              <w:rPr>
                <w:sz w:val="20"/>
              </w:rPr>
              <w:t xml:space="preserve">37,038 </w:t>
            </w:r>
          </w:p>
        </w:tc>
        <w:tc>
          <w:tcPr>
            <w:tcW w:w="1159" w:type="dxa"/>
            <w:tcBorders>
              <w:left w:val="nil"/>
              <w:right w:val="nil"/>
            </w:tcBorders>
            <w:shd w:val="clear" w:color="auto" w:fill="auto"/>
            <w:vAlign w:val="bottom"/>
          </w:tcPr>
          <w:p w14:paraId="210AF576" w14:textId="77777777" w:rsidR="00F41CB5" w:rsidRDefault="00F41CB5" w:rsidP="00F704C7">
            <w:pPr>
              <w:widowControl/>
              <w:jc w:val="right"/>
              <w:rPr>
                <w:sz w:val="20"/>
              </w:rPr>
            </w:pPr>
            <w:r>
              <w:rPr>
                <w:sz w:val="20"/>
              </w:rPr>
              <w:t>-</w:t>
            </w:r>
          </w:p>
        </w:tc>
        <w:tc>
          <w:tcPr>
            <w:tcW w:w="1255" w:type="dxa"/>
            <w:tcBorders>
              <w:left w:val="nil"/>
              <w:right w:val="nil"/>
            </w:tcBorders>
          </w:tcPr>
          <w:p w14:paraId="4EA8F06B" w14:textId="77777777" w:rsidR="00F41CB5" w:rsidRPr="008927F8" w:rsidRDefault="00F41CB5" w:rsidP="00F704C7">
            <w:pPr>
              <w:widowControl/>
              <w:jc w:val="right"/>
              <w:rPr>
                <w:sz w:val="20"/>
              </w:rPr>
            </w:pPr>
            <w:r>
              <w:rPr>
                <w:sz w:val="20"/>
              </w:rPr>
              <w:t>-</w:t>
            </w:r>
          </w:p>
        </w:tc>
        <w:tc>
          <w:tcPr>
            <w:tcW w:w="1255" w:type="dxa"/>
            <w:tcBorders>
              <w:left w:val="nil"/>
              <w:right w:val="nil"/>
            </w:tcBorders>
            <w:shd w:val="clear" w:color="auto" w:fill="auto"/>
            <w:vAlign w:val="bottom"/>
          </w:tcPr>
          <w:p w14:paraId="421C28F7" w14:textId="77777777" w:rsidR="00F41CB5" w:rsidRDefault="00F41CB5" w:rsidP="00F704C7">
            <w:pPr>
              <w:widowControl/>
              <w:jc w:val="right"/>
              <w:rPr>
                <w:sz w:val="20"/>
              </w:rPr>
            </w:pPr>
            <w:r w:rsidRPr="008927F8">
              <w:rPr>
                <w:sz w:val="20"/>
              </w:rPr>
              <w:t xml:space="preserve">37,038 </w:t>
            </w:r>
          </w:p>
        </w:tc>
      </w:tr>
      <w:tr w:rsidR="00F41CB5" w:rsidRPr="0050090B" w14:paraId="07298A37" w14:textId="77777777" w:rsidTr="00F41CB5">
        <w:trPr>
          <w:trHeight w:val="25"/>
        </w:trPr>
        <w:tc>
          <w:tcPr>
            <w:tcW w:w="3240" w:type="dxa"/>
            <w:tcBorders>
              <w:left w:val="nil"/>
              <w:right w:val="nil"/>
            </w:tcBorders>
            <w:shd w:val="clear" w:color="auto" w:fill="auto"/>
            <w:noWrap/>
            <w:vAlign w:val="bottom"/>
          </w:tcPr>
          <w:p w14:paraId="6B2A754C" w14:textId="77777777" w:rsidR="00F41CB5" w:rsidRPr="0050090B" w:rsidRDefault="00F41CB5" w:rsidP="00F704C7">
            <w:pPr>
              <w:widowControl/>
              <w:rPr>
                <w:sz w:val="20"/>
              </w:rPr>
            </w:pPr>
            <w:r>
              <w:rPr>
                <w:sz w:val="20"/>
              </w:rPr>
              <w:t>Geological surveying</w:t>
            </w:r>
          </w:p>
        </w:tc>
        <w:tc>
          <w:tcPr>
            <w:tcW w:w="1159" w:type="dxa"/>
            <w:tcBorders>
              <w:left w:val="nil"/>
              <w:right w:val="nil"/>
            </w:tcBorders>
            <w:shd w:val="clear" w:color="auto" w:fill="auto"/>
            <w:vAlign w:val="bottom"/>
          </w:tcPr>
          <w:p w14:paraId="56E2D560" w14:textId="77777777" w:rsidR="00F41CB5" w:rsidRDefault="00F41CB5" w:rsidP="00F704C7">
            <w:pPr>
              <w:widowControl/>
              <w:jc w:val="right"/>
              <w:rPr>
                <w:sz w:val="20"/>
              </w:rPr>
            </w:pPr>
            <w:r>
              <w:rPr>
                <w:sz w:val="20"/>
              </w:rPr>
              <w:t>857,311</w:t>
            </w:r>
            <w:r w:rsidRPr="008927F8">
              <w:rPr>
                <w:sz w:val="20"/>
              </w:rPr>
              <w:t xml:space="preserve"> </w:t>
            </w:r>
          </w:p>
        </w:tc>
        <w:tc>
          <w:tcPr>
            <w:tcW w:w="1159" w:type="dxa"/>
            <w:tcBorders>
              <w:left w:val="nil"/>
              <w:right w:val="nil"/>
            </w:tcBorders>
            <w:shd w:val="clear" w:color="auto" w:fill="auto"/>
            <w:vAlign w:val="bottom"/>
          </w:tcPr>
          <w:p w14:paraId="5720ABF3" w14:textId="77777777" w:rsidR="00F41CB5" w:rsidRPr="0050090B" w:rsidRDefault="00F41CB5" w:rsidP="00F704C7">
            <w:pPr>
              <w:widowControl/>
              <w:jc w:val="right"/>
              <w:rPr>
                <w:sz w:val="20"/>
              </w:rPr>
            </w:pPr>
            <w:r>
              <w:rPr>
                <w:sz w:val="20"/>
              </w:rPr>
              <w:t>-</w:t>
            </w:r>
          </w:p>
        </w:tc>
        <w:tc>
          <w:tcPr>
            <w:tcW w:w="1255" w:type="dxa"/>
            <w:tcBorders>
              <w:left w:val="nil"/>
              <w:right w:val="nil"/>
            </w:tcBorders>
          </w:tcPr>
          <w:p w14:paraId="69AC13C8" w14:textId="77777777" w:rsidR="00F41CB5" w:rsidRDefault="00F41CB5" w:rsidP="00F704C7">
            <w:pPr>
              <w:widowControl/>
              <w:jc w:val="right"/>
              <w:rPr>
                <w:sz w:val="20"/>
              </w:rPr>
            </w:pPr>
            <w:r>
              <w:rPr>
                <w:sz w:val="20"/>
              </w:rPr>
              <w:t>-</w:t>
            </w:r>
          </w:p>
        </w:tc>
        <w:tc>
          <w:tcPr>
            <w:tcW w:w="1255" w:type="dxa"/>
            <w:tcBorders>
              <w:left w:val="nil"/>
              <w:right w:val="nil"/>
            </w:tcBorders>
            <w:shd w:val="clear" w:color="auto" w:fill="auto"/>
            <w:vAlign w:val="bottom"/>
          </w:tcPr>
          <w:p w14:paraId="097FCEB4" w14:textId="77777777" w:rsidR="00F41CB5" w:rsidRDefault="00F41CB5" w:rsidP="00F704C7">
            <w:pPr>
              <w:widowControl/>
              <w:jc w:val="right"/>
              <w:rPr>
                <w:sz w:val="20"/>
              </w:rPr>
            </w:pPr>
            <w:r>
              <w:rPr>
                <w:sz w:val="20"/>
              </w:rPr>
              <w:t>857,311</w:t>
            </w:r>
            <w:r w:rsidRPr="008927F8">
              <w:rPr>
                <w:sz w:val="20"/>
              </w:rPr>
              <w:t xml:space="preserve"> </w:t>
            </w:r>
          </w:p>
        </w:tc>
      </w:tr>
      <w:tr w:rsidR="00F41CB5" w:rsidRPr="0050090B" w14:paraId="670107F9" w14:textId="77777777" w:rsidTr="00F41CB5">
        <w:trPr>
          <w:trHeight w:val="25"/>
        </w:trPr>
        <w:tc>
          <w:tcPr>
            <w:tcW w:w="3240" w:type="dxa"/>
            <w:tcBorders>
              <w:left w:val="nil"/>
              <w:right w:val="nil"/>
            </w:tcBorders>
            <w:shd w:val="clear" w:color="auto" w:fill="auto"/>
            <w:noWrap/>
            <w:vAlign w:val="bottom"/>
          </w:tcPr>
          <w:p w14:paraId="5FA803A5" w14:textId="77777777" w:rsidR="00F41CB5" w:rsidRDefault="00F41CB5" w:rsidP="00F704C7">
            <w:pPr>
              <w:widowControl/>
              <w:rPr>
                <w:sz w:val="20"/>
              </w:rPr>
            </w:pPr>
            <w:r w:rsidRPr="00C522A3">
              <w:rPr>
                <w:rFonts w:eastAsia="PMingLiU"/>
                <w:iCs/>
                <w:sz w:val="20"/>
              </w:rPr>
              <w:t>Impairment</w:t>
            </w:r>
          </w:p>
        </w:tc>
        <w:tc>
          <w:tcPr>
            <w:tcW w:w="1159" w:type="dxa"/>
            <w:tcBorders>
              <w:left w:val="nil"/>
              <w:right w:val="nil"/>
            </w:tcBorders>
            <w:shd w:val="clear" w:color="auto" w:fill="auto"/>
            <w:vAlign w:val="bottom"/>
          </w:tcPr>
          <w:p w14:paraId="4BA0BC77" w14:textId="77777777" w:rsidR="00F41CB5" w:rsidRDefault="00F41CB5" w:rsidP="00F704C7">
            <w:pPr>
              <w:widowControl/>
              <w:jc w:val="right"/>
              <w:rPr>
                <w:sz w:val="20"/>
              </w:rPr>
            </w:pPr>
            <w:r>
              <w:rPr>
                <w:rFonts w:eastAsia="PMingLiU"/>
                <w:iCs/>
                <w:sz w:val="20"/>
              </w:rPr>
              <w:t>(110,990)</w:t>
            </w:r>
          </w:p>
        </w:tc>
        <w:tc>
          <w:tcPr>
            <w:tcW w:w="1159" w:type="dxa"/>
            <w:tcBorders>
              <w:left w:val="nil"/>
              <w:right w:val="nil"/>
            </w:tcBorders>
            <w:shd w:val="clear" w:color="auto" w:fill="auto"/>
            <w:vAlign w:val="bottom"/>
          </w:tcPr>
          <w:p w14:paraId="706AEDCE" w14:textId="77777777" w:rsidR="00F41CB5" w:rsidRDefault="00F41CB5" w:rsidP="00F704C7">
            <w:pPr>
              <w:widowControl/>
              <w:jc w:val="right"/>
              <w:rPr>
                <w:sz w:val="20"/>
              </w:rPr>
            </w:pPr>
            <w:r>
              <w:rPr>
                <w:sz w:val="20"/>
              </w:rPr>
              <w:t>-</w:t>
            </w:r>
          </w:p>
        </w:tc>
        <w:tc>
          <w:tcPr>
            <w:tcW w:w="1255" w:type="dxa"/>
            <w:tcBorders>
              <w:left w:val="nil"/>
              <w:right w:val="nil"/>
            </w:tcBorders>
          </w:tcPr>
          <w:p w14:paraId="02EEC170" w14:textId="77777777" w:rsidR="00F41CB5" w:rsidRDefault="00F41CB5" w:rsidP="00F704C7">
            <w:pPr>
              <w:widowControl/>
              <w:jc w:val="right"/>
              <w:rPr>
                <w:rFonts w:eastAsia="PMingLiU"/>
                <w:iCs/>
                <w:sz w:val="20"/>
              </w:rPr>
            </w:pPr>
            <w:r>
              <w:rPr>
                <w:rFonts w:eastAsia="PMingLiU"/>
                <w:iCs/>
                <w:sz w:val="20"/>
              </w:rPr>
              <w:t>-</w:t>
            </w:r>
          </w:p>
        </w:tc>
        <w:tc>
          <w:tcPr>
            <w:tcW w:w="1255" w:type="dxa"/>
            <w:tcBorders>
              <w:left w:val="nil"/>
              <w:right w:val="nil"/>
            </w:tcBorders>
            <w:shd w:val="clear" w:color="auto" w:fill="auto"/>
            <w:vAlign w:val="bottom"/>
          </w:tcPr>
          <w:p w14:paraId="1C7F9EEF" w14:textId="77777777" w:rsidR="00F41CB5" w:rsidRDefault="00F41CB5" w:rsidP="00F704C7">
            <w:pPr>
              <w:widowControl/>
              <w:jc w:val="right"/>
              <w:rPr>
                <w:sz w:val="20"/>
              </w:rPr>
            </w:pPr>
            <w:r>
              <w:rPr>
                <w:rFonts w:eastAsia="PMingLiU"/>
                <w:iCs/>
                <w:sz w:val="20"/>
              </w:rPr>
              <w:t>(110,990)</w:t>
            </w:r>
          </w:p>
        </w:tc>
      </w:tr>
      <w:tr w:rsidR="00F41CB5" w:rsidRPr="0050090B" w14:paraId="46F5F58F" w14:textId="77777777" w:rsidTr="00F41CB5">
        <w:trPr>
          <w:trHeight w:val="25"/>
        </w:trPr>
        <w:tc>
          <w:tcPr>
            <w:tcW w:w="3240" w:type="dxa"/>
            <w:tcBorders>
              <w:top w:val="single" w:sz="4" w:space="0" w:color="auto"/>
              <w:left w:val="nil"/>
              <w:bottom w:val="double" w:sz="4" w:space="0" w:color="auto"/>
              <w:right w:val="nil"/>
            </w:tcBorders>
            <w:shd w:val="clear" w:color="auto" w:fill="auto"/>
            <w:noWrap/>
            <w:vAlign w:val="bottom"/>
          </w:tcPr>
          <w:p w14:paraId="2D9BC170" w14:textId="77777777" w:rsidR="00F41CB5" w:rsidRPr="0050090B" w:rsidRDefault="00F41CB5" w:rsidP="00F704C7">
            <w:pPr>
              <w:widowControl/>
              <w:rPr>
                <w:b/>
                <w:sz w:val="20"/>
              </w:rPr>
            </w:pPr>
            <w:r w:rsidRPr="0050090B">
              <w:rPr>
                <w:b/>
                <w:sz w:val="20"/>
              </w:rPr>
              <w:t>Balance</w:t>
            </w:r>
            <w:r>
              <w:rPr>
                <w:b/>
                <w:sz w:val="20"/>
              </w:rPr>
              <w:t xml:space="preserve"> March 31</w:t>
            </w:r>
            <w:r w:rsidRPr="0050090B">
              <w:rPr>
                <w:b/>
                <w:sz w:val="20"/>
              </w:rPr>
              <w:t>, 20</w:t>
            </w:r>
            <w:r>
              <w:rPr>
                <w:b/>
                <w:sz w:val="20"/>
              </w:rPr>
              <w:t>20</w:t>
            </w:r>
          </w:p>
        </w:tc>
        <w:tc>
          <w:tcPr>
            <w:tcW w:w="1159" w:type="dxa"/>
            <w:tcBorders>
              <w:top w:val="single" w:sz="4" w:space="0" w:color="auto"/>
              <w:left w:val="nil"/>
              <w:bottom w:val="double" w:sz="4" w:space="0" w:color="auto"/>
              <w:right w:val="nil"/>
            </w:tcBorders>
            <w:shd w:val="clear" w:color="auto" w:fill="auto"/>
          </w:tcPr>
          <w:p w14:paraId="4B58A154" w14:textId="77777777" w:rsidR="00F41CB5" w:rsidRPr="0050090B" w:rsidRDefault="00F41CB5" w:rsidP="00F704C7">
            <w:pPr>
              <w:widowControl/>
              <w:jc w:val="right"/>
              <w:rPr>
                <w:b/>
                <w:sz w:val="20"/>
              </w:rPr>
            </w:pPr>
            <w:r>
              <w:rPr>
                <w:b/>
                <w:sz w:val="20"/>
              </w:rPr>
              <w:t>9,108,419</w:t>
            </w:r>
          </w:p>
        </w:tc>
        <w:tc>
          <w:tcPr>
            <w:tcW w:w="1159" w:type="dxa"/>
            <w:tcBorders>
              <w:top w:val="single" w:sz="4" w:space="0" w:color="auto"/>
              <w:left w:val="nil"/>
              <w:bottom w:val="double" w:sz="4" w:space="0" w:color="auto"/>
              <w:right w:val="nil"/>
            </w:tcBorders>
            <w:shd w:val="clear" w:color="auto" w:fill="auto"/>
          </w:tcPr>
          <w:p w14:paraId="223203D6" w14:textId="77777777" w:rsidR="00F41CB5" w:rsidRPr="0050090B" w:rsidRDefault="00F41CB5" w:rsidP="00F704C7">
            <w:pPr>
              <w:widowControl/>
              <w:jc w:val="right"/>
              <w:rPr>
                <w:b/>
                <w:sz w:val="20"/>
              </w:rPr>
            </w:pPr>
            <w:r w:rsidRPr="0050090B">
              <w:rPr>
                <w:b/>
                <w:sz w:val="20"/>
              </w:rPr>
              <w:t>4,400,000</w:t>
            </w:r>
          </w:p>
        </w:tc>
        <w:tc>
          <w:tcPr>
            <w:tcW w:w="1255" w:type="dxa"/>
            <w:tcBorders>
              <w:top w:val="single" w:sz="4" w:space="0" w:color="auto"/>
              <w:left w:val="nil"/>
              <w:bottom w:val="double" w:sz="4" w:space="0" w:color="auto"/>
              <w:right w:val="nil"/>
            </w:tcBorders>
          </w:tcPr>
          <w:p w14:paraId="23AD2F86" w14:textId="77777777" w:rsidR="00F41CB5" w:rsidRDefault="00F41CB5" w:rsidP="00F704C7">
            <w:pPr>
              <w:widowControl/>
              <w:jc w:val="right"/>
              <w:rPr>
                <w:rFonts w:eastAsia="PMingLiU"/>
                <w:b/>
                <w:iCs/>
                <w:sz w:val="20"/>
              </w:rPr>
            </w:pPr>
            <w:r>
              <w:rPr>
                <w:rFonts w:eastAsia="PMingLiU"/>
                <w:b/>
                <w:iCs/>
                <w:sz w:val="20"/>
              </w:rPr>
              <w:t>965,000</w:t>
            </w:r>
          </w:p>
        </w:tc>
        <w:tc>
          <w:tcPr>
            <w:tcW w:w="1255" w:type="dxa"/>
            <w:tcBorders>
              <w:top w:val="single" w:sz="4" w:space="0" w:color="auto"/>
              <w:left w:val="nil"/>
              <w:bottom w:val="double" w:sz="4" w:space="0" w:color="auto"/>
              <w:right w:val="nil"/>
            </w:tcBorders>
            <w:shd w:val="clear" w:color="auto" w:fill="auto"/>
            <w:vAlign w:val="bottom"/>
          </w:tcPr>
          <w:p w14:paraId="4604F348" w14:textId="77777777" w:rsidR="00F41CB5" w:rsidRPr="0050090B" w:rsidRDefault="00F41CB5" w:rsidP="00F704C7">
            <w:pPr>
              <w:widowControl/>
              <w:jc w:val="right"/>
              <w:rPr>
                <w:b/>
                <w:sz w:val="20"/>
              </w:rPr>
            </w:pPr>
            <w:r>
              <w:rPr>
                <w:rFonts w:eastAsia="PMingLiU"/>
                <w:b/>
                <w:iCs/>
                <w:sz w:val="20"/>
              </w:rPr>
              <w:t>14,473,419</w:t>
            </w:r>
          </w:p>
        </w:tc>
      </w:tr>
      <w:tr w:rsidR="00F41CB5" w:rsidRPr="0050090B" w14:paraId="14AF474A" w14:textId="77777777" w:rsidTr="00F41CB5">
        <w:trPr>
          <w:trHeight w:val="25"/>
        </w:trPr>
        <w:tc>
          <w:tcPr>
            <w:tcW w:w="3240" w:type="dxa"/>
            <w:tcBorders>
              <w:left w:val="nil"/>
              <w:right w:val="nil"/>
            </w:tcBorders>
            <w:shd w:val="clear" w:color="auto" w:fill="auto"/>
            <w:noWrap/>
            <w:vAlign w:val="bottom"/>
          </w:tcPr>
          <w:p w14:paraId="63089F4E" w14:textId="77777777" w:rsidR="00F41CB5" w:rsidRPr="0050090B" w:rsidRDefault="00F41CB5" w:rsidP="005906FE">
            <w:pPr>
              <w:widowControl/>
              <w:rPr>
                <w:b/>
                <w:sz w:val="20"/>
              </w:rPr>
            </w:pPr>
            <w:r w:rsidRPr="0050090B">
              <w:rPr>
                <w:sz w:val="20"/>
              </w:rPr>
              <w:t>Acquisition costs</w:t>
            </w:r>
          </w:p>
        </w:tc>
        <w:tc>
          <w:tcPr>
            <w:tcW w:w="1159" w:type="dxa"/>
            <w:tcBorders>
              <w:left w:val="nil"/>
              <w:right w:val="nil"/>
            </w:tcBorders>
            <w:shd w:val="clear" w:color="auto" w:fill="auto"/>
          </w:tcPr>
          <w:p w14:paraId="5CD45544" w14:textId="3DC6435B" w:rsidR="00F41CB5" w:rsidRPr="0050090B" w:rsidRDefault="00F41CB5" w:rsidP="005906FE">
            <w:pPr>
              <w:widowControl/>
              <w:jc w:val="right"/>
              <w:rPr>
                <w:sz w:val="20"/>
              </w:rPr>
            </w:pPr>
            <w:r>
              <w:rPr>
                <w:sz w:val="20"/>
              </w:rPr>
              <w:t>20,000</w:t>
            </w:r>
          </w:p>
        </w:tc>
        <w:tc>
          <w:tcPr>
            <w:tcW w:w="1159" w:type="dxa"/>
            <w:tcBorders>
              <w:left w:val="nil"/>
              <w:right w:val="nil"/>
            </w:tcBorders>
            <w:shd w:val="clear" w:color="auto" w:fill="auto"/>
          </w:tcPr>
          <w:p w14:paraId="58D7FB0D" w14:textId="77777777" w:rsidR="00F41CB5" w:rsidRPr="0050090B" w:rsidRDefault="00F41CB5" w:rsidP="005906FE">
            <w:pPr>
              <w:widowControl/>
              <w:jc w:val="right"/>
              <w:rPr>
                <w:sz w:val="20"/>
              </w:rPr>
            </w:pPr>
            <w:r w:rsidRPr="0050090B">
              <w:rPr>
                <w:sz w:val="20"/>
              </w:rPr>
              <w:t>-</w:t>
            </w:r>
          </w:p>
        </w:tc>
        <w:tc>
          <w:tcPr>
            <w:tcW w:w="1255" w:type="dxa"/>
            <w:tcBorders>
              <w:left w:val="nil"/>
              <w:right w:val="nil"/>
            </w:tcBorders>
          </w:tcPr>
          <w:p w14:paraId="5C5BCC20" w14:textId="5013431D" w:rsidR="00F41CB5" w:rsidRDefault="00F41CB5" w:rsidP="005906FE">
            <w:pPr>
              <w:widowControl/>
              <w:jc w:val="right"/>
              <w:rPr>
                <w:sz w:val="20"/>
              </w:rPr>
            </w:pPr>
            <w:r>
              <w:rPr>
                <w:sz w:val="20"/>
              </w:rPr>
              <w:t>-</w:t>
            </w:r>
          </w:p>
        </w:tc>
        <w:tc>
          <w:tcPr>
            <w:tcW w:w="1255" w:type="dxa"/>
            <w:tcBorders>
              <w:left w:val="nil"/>
              <w:right w:val="nil"/>
            </w:tcBorders>
            <w:shd w:val="clear" w:color="auto" w:fill="auto"/>
          </w:tcPr>
          <w:p w14:paraId="1EE6BB61" w14:textId="460666BB" w:rsidR="00F41CB5" w:rsidRPr="0050090B" w:rsidRDefault="00F41CB5" w:rsidP="005906FE">
            <w:pPr>
              <w:widowControl/>
              <w:jc w:val="right"/>
              <w:rPr>
                <w:sz w:val="20"/>
              </w:rPr>
            </w:pPr>
            <w:r>
              <w:rPr>
                <w:sz w:val="20"/>
              </w:rPr>
              <w:t>20,000</w:t>
            </w:r>
          </w:p>
        </w:tc>
      </w:tr>
      <w:tr w:rsidR="00F41CB5" w:rsidRPr="0050090B" w14:paraId="0682F2F2" w14:textId="77777777" w:rsidTr="00F41CB5">
        <w:trPr>
          <w:trHeight w:val="25"/>
        </w:trPr>
        <w:tc>
          <w:tcPr>
            <w:tcW w:w="3240" w:type="dxa"/>
            <w:tcBorders>
              <w:left w:val="nil"/>
              <w:right w:val="nil"/>
            </w:tcBorders>
            <w:shd w:val="clear" w:color="auto" w:fill="auto"/>
            <w:noWrap/>
            <w:vAlign w:val="bottom"/>
          </w:tcPr>
          <w:p w14:paraId="1A1E19E2" w14:textId="77777777" w:rsidR="00F41CB5" w:rsidRPr="0050090B" w:rsidRDefault="00F41CB5" w:rsidP="005906FE">
            <w:pPr>
              <w:widowControl/>
              <w:rPr>
                <w:sz w:val="20"/>
              </w:rPr>
            </w:pPr>
            <w:r w:rsidRPr="000206BE">
              <w:rPr>
                <w:sz w:val="20"/>
              </w:rPr>
              <w:t>Assaying</w:t>
            </w:r>
          </w:p>
        </w:tc>
        <w:tc>
          <w:tcPr>
            <w:tcW w:w="1159" w:type="dxa"/>
            <w:tcBorders>
              <w:left w:val="nil"/>
              <w:right w:val="nil"/>
            </w:tcBorders>
            <w:shd w:val="clear" w:color="auto" w:fill="auto"/>
          </w:tcPr>
          <w:p w14:paraId="0FD3BA5D" w14:textId="68E19DE0" w:rsidR="00F41CB5" w:rsidRDefault="00F41CB5" w:rsidP="005906FE">
            <w:pPr>
              <w:widowControl/>
              <w:jc w:val="right"/>
              <w:rPr>
                <w:sz w:val="20"/>
              </w:rPr>
            </w:pPr>
            <w:r>
              <w:rPr>
                <w:sz w:val="20"/>
              </w:rPr>
              <w:t>63</w:t>
            </w:r>
          </w:p>
        </w:tc>
        <w:tc>
          <w:tcPr>
            <w:tcW w:w="1159" w:type="dxa"/>
            <w:tcBorders>
              <w:left w:val="nil"/>
              <w:right w:val="nil"/>
            </w:tcBorders>
            <w:shd w:val="clear" w:color="auto" w:fill="auto"/>
            <w:vAlign w:val="bottom"/>
          </w:tcPr>
          <w:p w14:paraId="48A12B4C" w14:textId="77777777" w:rsidR="00F41CB5" w:rsidRPr="0050090B" w:rsidRDefault="00F41CB5" w:rsidP="005906FE">
            <w:pPr>
              <w:widowControl/>
              <w:jc w:val="right"/>
              <w:rPr>
                <w:sz w:val="20"/>
              </w:rPr>
            </w:pPr>
            <w:r>
              <w:rPr>
                <w:sz w:val="20"/>
              </w:rPr>
              <w:t>-</w:t>
            </w:r>
          </w:p>
        </w:tc>
        <w:tc>
          <w:tcPr>
            <w:tcW w:w="1255" w:type="dxa"/>
            <w:tcBorders>
              <w:left w:val="nil"/>
              <w:right w:val="nil"/>
            </w:tcBorders>
          </w:tcPr>
          <w:p w14:paraId="3ED566BE" w14:textId="3ADF5CDD" w:rsidR="00F41CB5" w:rsidRPr="008927F8" w:rsidRDefault="00F41CB5" w:rsidP="005906FE">
            <w:pPr>
              <w:widowControl/>
              <w:jc w:val="right"/>
              <w:rPr>
                <w:sz w:val="20"/>
              </w:rPr>
            </w:pPr>
            <w:r>
              <w:rPr>
                <w:sz w:val="20"/>
              </w:rPr>
              <w:t>-</w:t>
            </w:r>
          </w:p>
        </w:tc>
        <w:tc>
          <w:tcPr>
            <w:tcW w:w="1255" w:type="dxa"/>
            <w:tcBorders>
              <w:left w:val="nil"/>
              <w:right w:val="nil"/>
            </w:tcBorders>
            <w:shd w:val="clear" w:color="auto" w:fill="auto"/>
          </w:tcPr>
          <w:p w14:paraId="2221D206" w14:textId="665DEA7D" w:rsidR="00F41CB5" w:rsidRDefault="00F41CB5" w:rsidP="005906FE">
            <w:pPr>
              <w:widowControl/>
              <w:jc w:val="right"/>
              <w:rPr>
                <w:sz w:val="20"/>
              </w:rPr>
            </w:pPr>
            <w:r>
              <w:rPr>
                <w:sz w:val="20"/>
              </w:rPr>
              <w:t>63</w:t>
            </w:r>
          </w:p>
        </w:tc>
      </w:tr>
      <w:tr w:rsidR="00F41CB5" w:rsidRPr="0050090B" w14:paraId="49CB77A1" w14:textId="77777777" w:rsidTr="00F41CB5">
        <w:trPr>
          <w:trHeight w:val="80"/>
        </w:trPr>
        <w:tc>
          <w:tcPr>
            <w:tcW w:w="3240" w:type="dxa"/>
            <w:tcBorders>
              <w:left w:val="nil"/>
              <w:right w:val="nil"/>
            </w:tcBorders>
            <w:shd w:val="clear" w:color="auto" w:fill="auto"/>
            <w:noWrap/>
            <w:vAlign w:val="bottom"/>
          </w:tcPr>
          <w:p w14:paraId="72417385" w14:textId="77777777" w:rsidR="00F41CB5" w:rsidRPr="000206BE" w:rsidRDefault="00F41CB5" w:rsidP="005906FE">
            <w:pPr>
              <w:widowControl/>
              <w:rPr>
                <w:sz w:val="20"/>
              </w:rPr>
            </w:pPr>
            <w:r w:rsidRPr="000206BE">
              <w:rPr>
                <w:sz w:val="20"/>
              </w:rPr>
              <w:t>Geological consultants</w:t>
            </w:r>
          </w:p>
        </w:tc>
        <w:tc>
          <w:tcPr>
            <w:tcW w:w="1159" w:type="dxa"/>
            <w:tcBorders>
              <w:left w:val="nil"/>
              <w:right w:val="nil"/>
            </w:tcBorders>
            <w:shd w:val="clear" w:color="auto" w:fill="auto"/>
            <w:vAlign w:val="bottom"/>
          </w:tcPr>
          <w:p w14:paraId="53F9AD6D" w14:textId="388E2356" w:rsidR="00F41CB5" w:rsidRDefault="00F41CB5" w:rsidP="005906FE">
            <w:pPr>
              <w:widowControl/>
              <w:jc w:val="right"/>
              <w:rPr>
                <w:sz w:val="20"/>
              </w:rPr>
            </w:pPr>
            <w:r>
              <w:rPr>
                <w:sz w:val="20"/>
              </w:rPr>
              <w:t>79,375</w:t>
            </w:r>
          </w:p>
        </w:tc>
        <w:tc>
          <w:tcPr>
            <w:tcW w:w="1159" w:type="dxa"/>
            <w:tcBorders>
              <w:left w:val="nil"/>
              <w:right w:val="nil"/>
            </w:tcBorders>
            <w:shd w:val="clear" w:color="auto" w:fill="auto"/>
            <w:vAlign w:val="bottom"/>
          </w:tcPr>
          <w:p w14:paraId="2C7F0F08" w14:textId="77777777" w:rsidR="00F41CB5" w:rsidRDefault="00F41CB5" w:rsidP="005906FE">
            <w:pPr>
              <w:widowControl/>
              <w:jc w:val="right"/>
              <w:rPr>
                <w:sz w:val="20"/>
              </w:rPr>
            </w:pPr>
            <w:r>
              <w:rPr>
                <w:sz w:val="20"/>
              </w:rPr>
              <w:t>-</w:t>
            </w:r>
          </w:p>
        </w:tc>
        <w:tc>
          <w:tcPr>
            <w:tcW w:w="1255" w:type="dxa"/>
            <w:tcBorders>
              <w:left w:val="nil"/>
              <w:right w:val="nil"/>
            </w:tcBorders>
          </w:tcPr>
          <w:p w14:paraId="0AEB1408" w14:textId="4205F356" w:rsidR="00F41CB5" w:rsidRPr="008927F8" w:rsidRDefault="00F41CB5" w:rsidP="005906FE">
            <w:pPr>
              <w:widowControl/>
              <w:jc w:val="right"/>
              <w:rPr>
                <w:sz w:val="20"/>
              </w:rPr>
            </w:pPr>
            <w:r>
              <w:rPr>
                <w:sz w:val="20"/>
              </w:rPr>
              <w:t>-</w:t>
            </w:r>
          </w:p>
        </w:tc>
        <w:tc>
          <w:tcPr>
            <w:tcW w:w="1255" w:type="dxa"/>
            <w:tcBorders>
              <w:left w:val="nil"/>
              <w:right w:val="nil"/>
            </w:tcBorders>
            <w:shd w:val="clear" w:color="auto" w:fill="auto"/>
            <w:vAlign w:val="bottom"/>
          </w:tcPr>
          <w:p w14:paraId="72914330" w14:textId="5496810A" w:rsidR="00F41CB5" w:rsidRDefault="00F41CB5" w:rsidP="005906FE">
            <w:pPr>
              <w:widowControl/>
              <w:jc w:val="right"/>
              <w:rPr>
                <w:sz w:val="20"/>
              </w:rPr>
            </w:pPr>
            <w:r>
              <w:rPr>
                <w:sz w:val="20"/>
              </w:rPr>
              <w:t>79,375</w:t>
            </w:r>
          </w:p>
        </w:tc>
      </w:tr>
      <w:tr w:rsidR="00F41CB5" w:rsidRPr="0050090B" w14:paraId="0E067D12" w14:textId="77777777" w:rsidTr="00F41CB5">
        <w:trPr>
          <w:trHeight w:val="25"/>
        </w:trPr>
        <w:tc>
          <w:tcPr>
            <w:tcW w:w="3240" w:type="dxa"/>
            <w:tcBorders>
              <w:top w:val="single" w:sz="4" w:space="0" w:color="auto"/>
              <w:left w:val="nil"/>
              <w:bottom w:val="double" w:sz="4" w:space="0" w:color="auto"/>
              <w:right w:val="nil"/>
            </w:tcBorders>
            <w:shd w:val="clear" w:color="auto" w:fill="auto"/>
            <w:noWrap/>
            <w:vAlign w:val="bottom"/>
          </w:tcPr>
          <w:p w14:paraId="7173A49E" w14:textId="138741F9" w:rsidR="00F41CB5" w:rsidRPr="0050090B" w:rsidRDefault="00F41CB5" w:rsidP="005906FE">
            <w:pPr>
              <w:widowControl/>
              <w:rPr>
                <w:b/>
                <w:sz w:val="20"/>
              </w:rPr>
            </w:pPr>
            <w:r w:rsidRPr="0050090B">
              <w:rPr>
                <w:b/>
                <w:sz w:val="20"/>
              </w:rPr>
              <w:t>Balance</w:t>
            </w:r>
            <w:r>
              <w:rPr>
                <w:b/>
                <w:sz w:val="20"/>
              </w:rPr>
              <w:t xml:space="preserve"> June 30</w:t>
            </w:r>
            <w:r w:rsidRPr="0050090B">
              <w:rPr>
                <w:b/>
                <w:sz w:val="20"/>
              </w:rPr>
              <w:t>, 20</w:t>
            </w:r>
            <w:r>
              <w:rPr>
                <w:b/>
                <w:sz w:val="20"/>
              </w:rPr>
              <w:t>20</w:t>
            </w:r>
          </w:p>
        </w:tc>
        <w:tc>
          <w:tcPr>
            <w:tcW w:w="1159" w:type="dxa"/>
            <w:tcBorders>
              <w:top w:val="single" w:sz="4" w:space="0" w:color="auto"/>
              <w:left w:val="nil"/>
              <w:bottom w:val="double" w:sz="4" w:space="0" w:color="auto"/>
              <w:right w:val="nil"/>
            </w:tcBorders>
            <w:shd w:val="clear" w:color="auto" w:fill="auto"/>
          </w:tcPr>
          <w:p w14:paraId="7C7F3DDA" w14:textId="1B71032D" w:rsidR="00F41CB5" w:rsidRPr="0050090B" w:rsidRDefault="00F41CB5" w:rsidP="005906FE">
            <w:pPr>
              <w:widowControl/>
              <w:jc w:val="right"/>
              <w:rPr>
                <w:b/>
                <w:sz w:val="20"/>
              </w:rPr>
            </w:pPr>
            <w:r>
              <w:rPr>
                <w:b/>
                <w:sz w:val="20"/>
              </w:rPr>
              <w:t>9,207,857</w:t>
            </w:r>
          </w:p>
        </w:tc>
        <w:tc>
          <w:tcPr>
            <w:tcW w:w="1159" w:type="dxa"/>
            <w:tcBorders>
              <w:top w:val="single" w:sz="4" w:space="0" w:color="auto"/>
              <w:left w:val="nil"/>
              <w:bottom w:val="double" w:sz="4" w:space="0" w:color="auto"/>
              <w:right w:val="nil"/>
            </w:tcBorders>
            <w:shd w:val="clear" w:color="auto" w:fill="auto"/>
          </w:tcPr>
          <w:p w14:paraId="3874C929" w14:textId="77777777" w:rsidR="00F41CB5" w:rsidRPr="0050090B" w:rsidRDefault="00F41CB5" w:rsidP="005906FE">
            <w:pPr>
              <w:widowControl/>
              <w:jc w:val="right"/>
              <w:rPr>
                <w:b/>
                <w:sz w:val="20"/>
              </w:rPr>
            </w:pPr>
            <w:r w:rsidRPr="0050090B">
              <w:rPr>
                <w:b/>
                <w:sz w:val="20"/>
              </w:rPr>
              <w:t>4,400,000</w:t>
            </w:r>
          </w:p>
        </w:tc>
        <w:tc>
          <w:tcPr>
            <w:tcW w:w="1255" w:type="dxa"/>
            <w:tcBorders>
              <w:top w:val="single" w:sz="4" w:space="0" w:color="auto"/>
              <w:left w:val="nil"/>
              <w:bottom w:val="double" w:sz="4" w:space="0" w:color="auto"/>
              <w:right w:val="nil"/>
            </w:tcBorders>
          </w:tcPr>
          <w:p w14:paraId="57F37C95" w14:textId="1B35C9DE" w:rsidR="00F41CB5" w:rsidRDefault="00F41CB5" w:rsidP="005906FE">
            <w:pPr>
              <w:widowControl/>
              <w:jc w:val="right"/>
              <w:rPr>
                <w:rFonts w:eastAsia="PMingLiU"/>
                <w:b/>
                <w:iCs/>
                <w:sz w:val="20"/>
              </w:rPr>
            </w:pPr>
            <w:r>
              <w:rPr>
                <w:rFonts w:eastAsia="PMingLiU"/>
                <w:b/>
                <w:iCs/>
                <w:sz w:val="20"/>
              </w:rPr>
              <w:t>965,000</w:t>
            </w:r>
          </w:p>
        </w:tc>
        <w:tc>
          <w:tcPr>
            <w:tcW w:w="1255" w:type="dxa"/>
            <w:tcBorders>
              <w:top w:val="single" w:sz="4" w:space="0" w:color="auto"/>
              <w:left w:val="nil"/>
              <w:bottom w:val="double" w:sz="4" w:space="0" w:color="auto"/>
              <w:right w:val="nil"/>
            </w:tcBorders>
            <w:shd w:val="clear" w:color="auto" w:fill="auto"/>
            <w:vAlign w:val="bottom"/>
          </w:tcPr>
          <w:p w14:paraId="4339733B" w14:textId="60679EDE" w:rsidR="00F41CB5" w:rsidRPr="0050090B" w:rsidRDefault="00F41CB5" w:rsidP="005906FE">
            <w:pPr>
              <w:widowControl/>
              <w:jc w:val="right"/>
              <w:rPr>
                <w:b/>
                <w:sz w:val="20"/>
              </w:rPr>
            </w:pPr>
            <w:r>
              <w:rPr>
                <w:rFonts w:eastAsia="PMingLiU"/>
                <w:b/>
                <w:iCs/>
                <w:sz w:val="20"/>
              </w:rPr>
              <w:t>14,572,857</w:t>
            </w:r>
          </w:p>
        </w:tc>
      </w:tr>
    </w:tbl>
    <w:p w14:paraId="3A084EE1" w14:textId="77777777" w:rsidR="00965C9A" w:rsidRDefault="00965C9A" w:rsidP="006C4BB1">
      <w:pPr>
        <w:adjustRightInd w:val="0"/>
        <w:jc w:val="both"/>
        <w:rPr>
          <w:sz w:val="20"/>
        </w:rPr>
      </w:pPr>
    </w:p>
    <w:p w14:paraId="1726EB83" w14:textId="559E8DAD" w:rsidR="00DF37EB" w:rsidRPr="004427A8" w:rsidRDefault="00DF37EB" w:rsidP="006C4BB1">
      <w:pPr>
        <w:adjustRightInd w:val="0"/>
        <w:jc w:val="both"/>
        <w:rPr>
          <w:sz w:val="20"/>
        </w:rPr>
      </w:pPr>
      <w:r w:rsidRPr="004427A8">
        <w:rPr>
          <w:sz w:val="20"/>
        </w:rPr>
        <w:t xml:space="preserve">During the </w:t>
      </w:r>
      <w:r w:rsidR="00DB2D3A">
        <w:rPr>
          <w:sz w:val="20"/>
        </w:rPr>
        <w:t>periods</w:t>
      </w:r>
      <w:r>
        <w:rPr>
          <w:sz w:val="20"/>
        </w:rPr>
        <w:t xml:space="preserve"> ended </w:t>
      </w:r>
      <w:r w:rsidR="00286999">
        <w:rPr>
          <w:sz w:val="20"/>
        </w:rPr>
        <w:t>June 30</w:t>
      </w:r>
      <w:r>
        <w:rPr>
          <w:sz w:val="20"/>
        </w:rPr>
        <w:t>, 202</w:t>
      </w:r>
      <w:r w:rsidR="00DB2D3A">
        <w:rPr>
          <w:sz w:val="20"/>
        </w:rPr>
        <w:t>0</w:t>
      </w:r>
      <w:r w:rsidRPr="004427A8">
        <w:rPr>
          <w:sz w:val="20"/>
        </w:rPr>
        <w:t xml:space="preserve">, the Company has centered its exploration focus on the developing Meguma formation of Nova Scotia and has assembled a strategically-positioned tenure of </w:t>
      </w:r>
      <w:r>
        <w:rPr>
          <w:sz w:val="20"/>
        </w:rPr>
        <w:t>prospective gold zones in Nova Scotia. The Company continues to explore extensively throughout the region and expenditures demonstrate the Company’s objectives. The Company continues to complete geophysics and preliminary drilling to evaluate potential locations of value.</w:t>
      </w:r>
      <w:r w:rsidRPr="004427A8">
        <w:rPr>
          <w:sz w:val="20"/>
        </w:rPr>
        <w:t xml:space="preserve"> Till sampling</w:t>
      </w:r>
      <w:r>
        <w:rPr>
          <w:sz w:val="20"/>
        </w:rPr>
        <w:t>,</w:t>
      </w:r>
      <w:r w:rsidRPr="004427A8">
        <w:rPr>
          <w:sz w:val="20"/>
        </w:rPr>
        <w:t xml:space="preserve"> ground geophysics</w:t>
      </w:r>
      <w:r>
        <w:rPr>
          <w:sz w:val="20"/>
        </w:rPr>
        <w:t xml:space="preserve"> and induced polarization</w:t>
      </w:r>
      <w:r w:rsidRPr="004427A8">
        <w:rPr>
          <w:sz w:val="20"/>
        </w:rPr>
        <w:t xml:space="preserve"> programs were later initiated to help define targets of lesser known geological information. See Exploration and Evaluation Strategy for more detail. </w:t>
      </w:r>
    </w:p>
    <w:p w14:paraId="4B25BD48" w14:textId="77777777" w:rsidR="00BE2B94" w:rsidRPr="00F35544" w:rsidRDefault="00BE2B94" w:rsidP="00BE2B94">
      <w:pPr>
        <w:rPr>
          <w:vanish/>
          <w:sz w:val="20"/>
        </w:rPr>
      </w:pPr>
    </w:p>
    <w:p w14:paraId="01DB51F2" w14:textId="77777777" w:rsidR="00901988" w:rsidRPr="00F35544" w:rsidRDefault="00901988" w:rsidP="00ED4359">
      <w:pPr>
        <w:autoSpaceDE w:val="0"/>
        <w:autoSpaceDN w:val="0"/>
        <w:adjustRightInd w:val="0"/>
        <w:ind w:left="425" w:hanging="425"/>
        <w:jc w:val="both"/>
        <w:rPr>
          <w:b/>
          <w:bCs/>
          <w:sz w:val="20"/>
        </w:rPr>
      </w:pPr>
    </w:p>
    <w:bookmarkEnd w:id="1"/>
    <w:p w14:paraId="55E35BC6" w14:textId="77777777" w:rsidR="000928F5" w:rsidRPr="00F35544" w:rsidRDefault="000928F5" w:rsidP="00A573C3">
      <w:pPr>
        <w:adjustRightInd w:val="0"/>
        <w:jc w:val="both"/>
        <w:rPr>
          <w:b/>
          <w:caps/>
          <w:sz w:val="20"/>
        </w:rPr>
      </w:pPr>
      <w:r w:rsidRPr="00F35544">
        <w:rPr>
          <w:b/>
          <w:caps/>
          <w:sz w:val="20"/>
        </w:rPr>
        <w:t xml:space="preserve">OVERALL PERFORMANCE </w:t>
      </w:r>
    </w:p>
    <w:p w14:paraId="0E4490E1" w14:textId="77777777" w:rsidR="00A573C3" w:rsidRPr="00F35544" w:rsidRDefault="00A573C3" w:rsidP="00A573C3">
      <w:pPr>
        <w:pStyle w:val="Default"/>
        <w:jc w:val="both"/>
        <w:rPr>
          <w:rFonts w:ascii="Times New Roman" w:hAnsi="Times New Roman" w:cs="Times New Roman"/>
          <w:color w:val="auto"/>
          <w:sz w:val="20"/>
          <w:szCs w:val="20"/>
        </w:rPr>
      </w:pPr>
    </w:p>
    <w:p w14:paraId="7776B8F7" w14:textId="77777777" w:rsidR="00DF37EB" w:rsidRPr="004427A8" w:rsidRDefault="00DF37EB" w:rsidP="00DF37EB">
      <w:pPr>
        <w:pStyle w:val="Default"/>
        <w:jc w:val="both"/>
        <w:rPr>
          <w:rFonts w:ascii="Times New Roman" w:hAnsi="Times New Roman" w:cs="Times New Roman"/>
          <w:color w:val="auto"/>
          <w:sz w:val="20"/>
          <w:szCs w:val="20"/>
        </w:rPr>
      </w:pPr>
      <w:r w:rsidRPr="004427A8">
        <w:rPr>
          <w:rFonts w:ascii="Times New Roman" w:hAnsi="Times New Roman" w:cs="Times New Roman"/>
          <w:color w:val="auto"/>
          <w:sz w:val="20"/>
          <w:szCs w:val="20"/>
        </w:rPr>
        <w:t xml:space="preserve">The Company explores for precious minerals with an emphasis on gold. The Company has no earnings and therefore finances exploration and development activities by the sale of shares. The key determinants of the Company's operating results are the following: </w:t>
      </w:r>
    </w:p>
    <w:p w14:paraId="20A2C289" w14:textId="77777777" w:rsidR="00DF37EB" w:rsidRPr="004427A8" w:rsidRDefault="00DF37EB" w:rsidP="00DF37EB">
      <w:pPr>
        <w:pStyle w:val="Default"/>
        <w:jc w:val="both"/>
        <w:rPr>
          <w:rFonts w:ascii="Times New Roman" w:hAnsi="Times New Roman" w:cs="Times New Roman"/>
          <w:color w:val="auto"/>
          <w:sz w:val="20"/>
          <w:szCs w:val="20"/>
        </w:rPr>
      </w:pPr>
    </w:p>
    <w:p w14:paraId="1F0DBD57" w14:textId="77777777" w:rsidR="00DF37EB" w:rsidRPr="004427A8" w:rsidRDefault="00DF37EB" w:rsidP="00DF37EB">
      <w:pPr>
        <w:pStyle w:val="Default"/>
        <w:tabs>
          <w:tab w:val="left" w:pos="180"/>
          <w:tab w:val="left" w:pos="270"/>
        </w:tabs>
        <w:jc w:val="both"/>
        <w:rPr>
          <w:rFonts w:ascii="Times New Roman" w:hAnsi="Times New Roman" w:cs="Times New Roman"/>
          <w:color w:val="auto"/>
          <w:sz w:val="20"/>
          <w:szCs w:val="20"/>
        </w:rPr>
      </w:pPr>
      <w:r w:rsidRPr="004427A8">
        <w:rPr>
          <w:rFonts w:ascii="Times New Roman" w:hAnsi="Times New Roman" w:cs="Times New Roman"/>
          <w:color w:val="auto"/>
          <w:sz w:val="20"/>
          <w:szCs w:val="20"/>
        </w:rPr>
        <w:t xml:space="preserve">(a)  </w:t>
      </w:r>
      <w:proofErr w:type="gramStart"/>
      <w:r w:rsidRPr="004427A8">
        <w:rPr>
          <w:rFonts w:ascii="Times New Roman" w:hAnsi="Times New Roman" w:cs="Times New Roman"/>
          <w:color w:val="auto"/>
          <w:sz w:val="20"/>
          <w:szCs w:val="20"/>
        </w:rPr>
        <w:t>success</w:t>
      </w:r>
      <w:proofErr w:type="gramEnd"/>
      <w:r w:rsidRPr="004427A8">
        <w:rPr>
          <w:rFonts w:ascii="Times New Roman" w:hAnsi="Times New Roman" w:cs="Times New Roman"/>
          <w:color w:val="auto"/>
          <w:sz w:val="20"/>
          <w:szCs w:val="20"/>
        </w:rPr>
        <w:t xml:space="preserve"> of its exploration and development programs and putting these into production; </w:t>
      </w:r>
    </w:p>
    <w:p w14:paraId="6D257597" w14:textId="77777777" w:rsidR="00DF37EB" w:rsidRPr="004427A8" w:rsidRDefault="00DF37EB" w:rsidP="00DF37EB">
      <w:pPr>
        <w:pStyle w:val="Default"/>
        <w:tabs>
          <w:tab w:val="left" w:pos="180"/>
          <w:tab w:val="left" w:pos="270"/>
          <w:tab w:val="left" w:pos="360"/>
        </w:tabs>
        <w:jc w:val="both"/>
        <w:rPr>
          <w:rFonts w:ascii="Times New Roman" w:hAnsi="Times New Roman" w:cs="Times New Roman"/>
          <w:color w:val="auto"/>
          <w:sz w:val="20"/>
          <w:szCs w:val="20"/>
        </w:rPr>
      </w:pPr>
      <w:r w:rsidRPr="004427A8">
        <w:rPr>
          <w:rFonts w:ascii="Times New Roman" w:hAnsi="Times New Roman" w:cs="Times New Roman"/>
          <w:color w:val="auto"/>
          <w:sz w:val="20"/>
          <w:szCs w:val="20"/>
        </w:rPr>
        <w:t xml:space="preserve">(b)  </w:t>
      </w:r>
      <w:proofErr w:type="gramStart"/>
      <w:r w:rsidRPr="004427A8">
        <w:rPr>
          <w:rFonts w:ascii="Times New Roman" w:hAnsi="Times New Roman" w:cs="Times New Roman"/>
          <w:color w:val="auto"/>
          <w:sz w:val="20"/>
          <w:szCs w:val="20"/>
        </w:rPr>
        <w:t>the</w:t>
      </w:r>
      <w:proofErr w:type="gramEnd"/>
      <w:r w:rsidRPr="004427A8">
        <w:rPr>
          <w:rFonts w:ascii="Times New Roman" w:hAnsi="Times New Roman" w:cs="Times New Roman"/>
          <w:color w:val="auto"/>
          <w:sz w:val="20"/>
          <w:szCs w:val="20"/>
        </w:rPr>
        <w:t xml:space="preserve"> state of capital markets, which affects the ability of the Company to finance its exploration activities; </w:t>
      </w:r>
    </w:p>
    <w:p w14:paraId="511D0A88" w14:textId="77777777" w:rsidR="00DF37EB" w:rsidRPr="004427A8" w:rsidRDefault="00DF37EB" w:rsidP="00DF37EB">
      <w:pPr>
        <w:pStyle w:val="Default"/>
        <w:tabs>
          <w:tab w:val="left" w:pos="180"/>
          <w:tab w:val="left" w:pos="270"/>
        </w:tabs>
        <w:jc w:val="both"/>
        <w:rPr>
          <w:rFonts w:ascii="Times New Roman" w:hAnsi="Times New Roman" w:cs="Times New Roman"/>
          <w:color w:val="auto"/>
          <w:sz w:val="20"/>
          <w:szCs w:val="20"/>
        </w:rPr>
      </w:pPr>
      <w:r w:rsidRPr="004427A8">
        <w:rPr>
          <w:rFonts w:ascii="Times New Roman" w:hAnsi="Times New Roman" w:cs="Times New Roman"/>
          <w:color w:val="auto"/>
          <w:sz w:val="20"/>
          <w:szCs w:val="20"/>
        </w:rPr>
        <w:t xml:space="preserve">(c)  </w:t>
      </w:r>
      <w:proofErr w:type="gramStart"/>
      <w:r w:rsidRPr="004427A8">
        <w:rPr>
          <w:rFonts w:ascii="Times New Roman" w:hAnsi="Times New Roman" w:cs="Times New Roman"/>
          <w:color w:val="auto"/>
          <w:sz w:val="20"/>
          <w:szCs w:val="20"/>
        </w:rPr>
        <w:t>the</w:t>
      </w:r>
      <w:proofErr w:type="gramEnd"/>
      <w:r w:rsidRPr="004427A8">
        <w:rPr>
          <w:rFonts w:ascii="Times New Roman" w:hAnsi="Times New Roman" w:cs="Times New Roman"/>
          <w:color w:val="auto"/>
          <w:sz w:val="20"/>
          <w:szCs w:val="20"/>
        </w:rPr>
        <w:t xml:space="preserve"> market price of gold and silver; and </w:t>
      </w:r>
    </w:p>
    <w:p w14:paraId="6229D3CD" w14:textId="26461310" w:rsidR="00DF37EB" w:rsidRDefault="00DF37EB" w:rsidP="00DF37EB">
      <w:pPr>
        <w:pStyle w:val="Default"/>
        <w:tabs>
          <w:tab w:val="left" w:pos="180"/>
          <w:tab w:val="left" w:pos="270"/>
        </w:tabs>
        <w:ind w:left="284" w:hanging="284"/>
        <w:jc w:val="both"/>
        <w:rPr>
          <w:rFonts w:ascii="Times New Roman" w:hAnsi="Times New Roman" w:cs="Times New Roman"/>
          <w:color w:val="auto"/>
          <w:sz w:val="20"/>
          <w:szCs w:val="20"/>
        </w:rPr>
      </w:pPr>
      <w:r w:rsidRPr="004427A8">
        <w:rPr>
          <w:rFonts w:ascii="Times New Roman" w:hAnsi="Times New Roman" w:cs="Times New Roman"/>
          <w:color w:val="auto"/>
          <w:sz w:val="20"/>
          <w:szCs w:val="20"/>
        </w:rPr>
        <w:t xml:space="preserve">(d) </w:t>
      </w:r>
      <w:proofErr w:type="gramStart"/>
      <w:r w:rsidRPr="004427A8">
        <w:rPr>
          <w:rFonts w:ascii="Times New Roman" w:hAnsi="Times New Roman" w:cs="Times New Roman"/>
          <w:color w:val="auto"/>
          <w:sz w:val="20"/>
          <w:szCs w:val="20"/>
        </w:rPr>
        <w:t>political</w:t>
      </w:r>
      <w:proofErr w:type="gramEnd"/>
      <w:r w:rsidRPr="004427A8">
        <w:rPr>
          <w:rFonts w:ascii="Times New Roman" w:hAnsi="Times New Roman" w:cs="Times New Roman"/>
          <w:color w:val="auto"/>
          <w:sz w:val="20"/>
          <w:szCs w:val="20"/>
        </w:rPr>
        <w:t xml:space="preserve"> and social issues which have affected and could further affect the ability of the Company to conduct exploration and mine development activities on its projects in Canada. </w:t>
      </w:r>
    </w:p>
    <w:p w14:paraId="48538C20" w14:textId="1A6AB7D1" w:rsidR="006B13BF" w:rsidRDefault="006B13BF" w:rsidP="006B13BF">
      <w:pPr>
        <w:adjustRightInd w:val="0"/>
        <w:jc w:val="both"/>
        <w:rPr>
          <w:b/>
          <w:caps/>
          <w:sz w:val="20"/>
        </w:rPr>
      </w:pPr>
    </w:p>
    <w:p w14:paraId="5763A81D" w14:textId="0F3D9396" w:rsidR="002D639F" w:rsidRPr="004427A8" w:rsidRDefault="002D639F" w:rsidP="002D639F">
      <w:pPr>
        <w:adjustRightInd w:val="0"/>
        <w:spacing w:after="120"/>
        <w:jc w:val="both"/>
        <w:rPr>
          <w:b/>
          <w:caps/>
          <w:sz w:val="20"/>
        </w:rPr>
      </w:pPr>
      <w:r w:rsidRPr="004427A8">
        <w:rPr>
          <w:b/>
          <w:caps/>
          <w:sz w:val="20"/>
        </w:rPr>
        <w:t>EXPLORATION and Development STRATEGY</w:t>
      </w:r>
    </w:p>
    <w:p w14:paraId="25354C5C" w14:textId="77777777" w:rsidR="002D639F" w:rsidRPr="004427A8" w:rsidRDefault="002D639F" w:rsidP="002D639F">
      <w:pPr>
        <w:autoSpaceDE w:val="0"/>
        <w:autoSpaceDN w:val="0"/>
        <w:adjustRightInd w:val="0"/>
        <w:ind w:left="425" w:hanging="425"/>
        <w:jc w:val="both"/>
        <w:rPr>
          <w:b/>
          <w:spacing w:val="-2"/>
          <w:sz w:val="20"/>
        </w:rPr>
      </w:pPr>
      <w:r w:rsidRPr="004427A8">
        <w:rPr>
          <w:b/>
          <w:spacing w:val="-2"/>
          <w:sz w:val="20"/>
        </w:rPr>
        <w:t>MegumaGold Property</w:t>
      </w:r>
    </w:p>
    <w:p w14:paraId="08BF2783" w14:textId="77777777" w:rsidR="00663F1B" w:rsidRPr="004427A8" w:rsidRDefault="00663F1B" w:rsidP="002D639F">
      <w:pPr>
        <w:autoSpaceDE w:val="0"/>
        <w:autoSpaceDN w:val="0"/>
        <w:adjustRightInd w:val="0"/>
        <w:ind w:left="425" w:hanging="425"/>
        <w:jc w:val="both"/>
        <w:rPr>
          <w:b/>
          <w:spacing w:val="-2"/>
          <w:sz w:val="20"/>
        </w:rPr>
      </w:pPr>
    </w:p>
    <w:p w14:paraId="285B8802" w14:textId="77777777" w:rsidR="002D639F" w:rsidRPr="004427A8" w:rsidRDefault="00663F1B" w:rsidP="002D639F">
      <w:pPr>
        <w:adjustRightInd w:val="0"/>
        <w:jc w:val="both"/>
        <w:rPr>
          <w:spacing w:val="-2"/>
          <w:sz w:val="20"/>
        </w:rPr>
      </w:pPr>
      <w:r w:rsidRPr="00663F1B">
        <w:rPr>
          <w:spacing w:val="-2"/>
          <w:sz w:val="20"/>
          <w:lang w:val="en-CA"/>
        </w:rPr>
        <w:t>Through its subsidiary 1156219 B.C. Ltd, MegumaGold has 100% interest in, or holds under several option agreements, a total of 247 Mineral Exploration Licences comprised of 6,449 mineral claims (104,396 hectares)</w:t>
      </w:r>
      <w:r>
        <w:rPr>
          <w:spacing w:val="-2"/>
          <w:sz w:val="20"/>
          <w:lang w:val="en-CA"/>
        </w:rPr>
        <w:t>.</w:t>
      </w:r>
      <w:r w:rsidRPr="00663F1B">
        <w:rPr>
          <w:spacing w:val="-2"/>
          <w:sz w:val="20"/>
          <w:lang w:val="en-CA"/>
        </w:rPr>
        <w:t xml:space="preserve"> The exploration licences that MegumaGold holds in Nova Scotia span a large area of the central and eastern parts of the mainland of the province, including Halifax, Guysborough, Hants, and Colchester counties. </w:t>
      </w:r>
    </w:p>
    <w:p w14:paraId="5A7D9023" w14:textId="77777777" w:rsidR="002D639F" w:rsidRPr="004427A8" w:rsidRDefault="002D639F" w:rsidP="002D639F">
      <w:pPr>
        <w:adjustRightInd w:val="0"/>
        <w:jc w:val="both"/>
        <w:rPr>
          <w:spacing w:val="-2"/>
          <w:sz w:val="20"/>
        </w:rPr>
      </w:pPr>
      <w:r w:rsidRPr="004427A8">
        <w:rPr>
          <w:spacing w:val="-2"/>
          <w:sz w:val="20"/>
        </w:rPr>
        <w:t>The</w:t>
      </w:r>
      <w:r w:rsidR="00663F1B">
        <w:rPr>
          <w:spacing w:val="-2"/>
          <w:sz w:val="20"/>
        </w:rPr>
        <w:t xml:space="preserve"> current land position was</w:t>
      </w:r>
      <w:r w:rsidRPr="004427A8">
        <w:rPr>
          <w:spacing w:val="-2"/>
          <w:sz w:val="20"/>
        </w:rPr>
        <w:t xml:space="preserve"> staked along the under-explored trends of known gold producing anticlinal structures and the Company estimates that it will control approximately 466 km (total strike length) of gold-prospective anticlines</w:t>
      </w:r>
      <w:r w:rsidR="00663F1B">
        <w:rPr>
          <w:spacing w:val="-2"/>
          <w:sz w:val="20"/>
        </w:rPr>
        <w:t>,</w:t>
      </w:r>
      <w:r w:rsidRPr="004427A8">
        <w:rPr>
          <w:spacing w:val="-2"/>
          <w:sz w:val="20"/>
        </w:rPr>
        <w:t xml:space="preserve"> </w:t>
      </w:r>
    </w:p>
    <w:p w14:paraId="1E0F7FA2" w14:textId="77777777" w:rsidR="002D639F" w:rsidRDefault="00663F1B" w:rsidP="002D639F">
      <w:pPr>
        <w:adjustRightInd w:val="0"/>
        <w:jc w:val="both"/>
        <w:rPr>
          <w:spacing w:val="-2"/>
          <w:sz w:val="20"/>
        </w:rPr>
      </w:pPr>
      <w:proofErr w:type="gramStart"/>
      <w:r>
        <w:rPr>
          <w:spacing w:val="-2"/>
          <w:sz w:val="20"/>
        </w:rPr>
        <w:t>which</w:t>
      </w:r>
      <w:proofErr w:type="gramEnd"/>
      <w:r w:rsidR="002D639F" w:rsidRPr="004427A8">
        <w:rPr>
          <w:spacing w:val="-2"/>
          <w:sz w:val="20"/>
        </w:rPr>
        <w:t xml:space="preserve"> </w:t>
      </w:r>
      <w:r>
        <w:rPr>
          <w:spacing w:val="-2"/>
          <w:sz w:val="20"/>
        </w:rPr>
        <w:t xml:space="preserve">provides the </w:t>
      </w:r>
      <w:r w:rsidR="002D639F" w:rsidRPr="004427A8">
        <w:rPr>
          <w:spacing w:val="-2"/>
          <w:sz w:val="20"/>
        </w:rPr>
        <w:t xml:space="preserve">Company </w:t>
      </w:r>
      <w:r>
        <w:rPr>
          <w:spacing w:val="-2"/>
          <w:sz w:val="20"/>
        </w:rPr>
        <w:t>with a</w:t>
      </w:r>
      <w:r w:rsidR="002D639F" w:rsidRPr="004427A8">
        <w:rPr>
          <w:spacing w:val="-2"/>
          <w:sz w:val="20"/>
        </w:rPr>
        <w:t xml:space="preserve"> unique opportunity to control the largest strike-length share of projected anticlines </w:t>
      </w:r>
      <w:r w:rsidR="002D639F" w:rsidRPr="004427A8">
        <w:rPr>
          <w:spacing w:val="-2"/>
          <w:sz w:val="20"/>
        </w:rPr>
        <w:lastRenderedPageBreak/>
        <w:t>in the province</w:t>
      </w:r>
      <w:r>
        <w:rPr>
          <w:spacing w:val="-2"/>
          <w:sz w:val="20"/>
        </w:rPr>
        <w:t>.</w:t>
      </w:r>
      <w:r w:rsidR="002D639F" w:rsidRPr="004427A8">
        <w:rPr>
          <w:spacing w:val="-2"/>
          <w:sz w:val="20"/>
        </w:rPr>
        <w:t xml:space="preserve"> </w:t>
      </w:r>
    </w:p>
    <w:p w14:paraId="2F3DA3C6" w14:textId="1F23E9F7" w:rsidR="006B13BF" w:rsidRPr="004427A8" w:rsidRDefault="006B13BF" w:rsidP="006B13BF">
      <w:pPr>
        <w:adjustRightInd w:val="0"/>
        <w:spacing w:after="120"/>
        <w:jc w:val="both"/>
        <w:rPr>
          <w:b/>
          <w:caps/>
          <w:sz w:val="20"/>
        </w:rPr>
      </w:pPr>
      <w:r>
        <w:rPr>
          <w:spacing w:val="-2"/>
          <w:sz w:val="20"/>
          <w:lang w:val="en-CA"/>
        </w:rPr>
        <w:br w:type="page"/>
      </w:r>
      <w:r w:rsidRPr="004427A8">
        <w:rPr>
          <w:b/>
          <w:caps/>
          <w:sz w:val="20"/>
        </w:rPr>
        <w:lastRenderedPageBreak/>
        <w:t>EXPLORATION and Development STRATEGY</w:t>
      </w:r>
      <w:r>
        <w:rPr>
          <w:b/>
          <w:caps/>
          <w:sz w:val="20"/>
        </w:rPr>
        <w:t xml:space="preserve"> (CONTINUED)</w:t>
      </w:r>
    </w:p>
    <w:p w14:paraId="44C7E0B1" w14:textId="5A7BFFD3" w:rsidR="00663F1B" w:rsidRDefault="00663F1B" w:rsidP="00663F1B">
      <w:pPr>
        <w:adjustRightInd w:val="0"/>
        <w:jc w:val="both"/>
        <w:rPr>
          <w:spacing w:val="-2"/>
          <w:sz w:val="20"/>
          <w:lang w:val="en-CA"/>
        </w:rPr>
      </w:pPr>
      <w:r w:rsidRPr="00663F1B">
        <w:rPr>
          <w:spacing w:val="-2"/>
          <w:sz w:val="20"/>
          <w:lang w:val="en-CA"/>
        </w:rPr>
        <w:t xml:space="preserve">The MegumaGold Properties are mainly situated in Eastern Nova Scotia; specifically, east of the Halifax Regional Municipality (HRM or Halifax), and south of the town of Guysborough. The closest international airport is the Halifax Stanfield International Airport about 25 km north of Halifax. The properties can be easily accessed from secondary highways, such as Highway No. 7 and local roads. All properties are within a 2 to 3-hour drive of the Halifax Regional Municipality (HRM) which has a population of approximately 400,000. From the secondary highways, forestry access roads are normally used to access the mineral claims directly, whether by truck, all-terrain vehicle or by foot, depending on the condition of specific roads or trails. Sheet Harbour (pop. 800) is the largest town in the Eastern Shore area along Highway No. 7 to offer full services, with the villages of Sherbrooke (pop. 400) and Guysborough (pop. 400) providing partial services. The town of Antigonish (pop. 4,400) is located approximately 62 km north of the village of Sherbrooke along Highway No. 104 and is the closest full-service community to the furthest eastern claims in MegumaGold’s property portfolio on mainland Nova Scotia. </w:t>
      </w:r>
    </w:p>
    <w:p w14:paraId="4303B4D3" w14:textId="77777777" w:rsidR="001742B6" w:rsidRPr="00663F1B" w:rsidRDefault="001742B6" w:rsidP="00663F1B">
      <w:pPr>
        <w:adjustRightInd w:val="0"/>
        <w:jc w:val="both"/>
        <w:rPr>
          <w:spacing w:val="-2"/>
          <w:sz w:val="20"/>
          <w:lang w:val="en-CA"/>
        </w:rPr>
      </w:pPr>
    </w:p>
    <w:p w14:paraId="003CEA48" w14:textId="77777777" w:rsidR="00663F1B" w:rsidRDefault="00663F1B" w:rsidP="00663F1B">
      <w:pPr>
        <w:adjustRightInd w:val="0"/>
        <w:jc w:val="both"/>
        <w:rPr>
          <w:spacing w:val="-2"/>
          <w:sz w:val="20"/>
          <w:lang w:val="en-CA"/>
        </w:rPr>
      </w:pPr>
      <w:r w:rsidRPr="00663F1B">
        <w:rPr>
          <w:spacing w:val="-2"/>
          <w:sz w:val="20"/>
          <w:lang w:val="en-CA"/>
        </w:rPr>
        <w:t xml:space="preserve">Land access permission is required from surface rights holders in Nova Scotia before mineral exploration activities can be undertaken. Surface titles to lands covered by the MegumaGold properties are held by various private landowners and by the Province of Nova Scotia (the “Crown land”). There are currently several formal exploration access agreements in place between MegumaGold and corporate and individual surface rights holders. </w:t>
      </w:r>
    </w:p>
    <w:p w14:paraId="3BF487A6" w14:textId="77777777" w:rsidR="00663F1B" w:rsidRDefault="00663F1B" w:rsidP="00663F1B">
      <w:pPr>
        <w:adjustRightInd w:val="0"/>
        <w:jc w:val="both"/>
        <w:rPr>
          <w:spacing w:val="-2"/>
          <w:sz w:val="20"/>
          <w:lang w:val="en-CA"/>
        </w:rPr>
      </w:pPr>
    </w:p>
    <w:p w14:paraId="2F04CDB0" w14:textId="5A0ED82B" w:rsidR="00663F1B" w:rsidRDefault="00663F1B" w:rsidP="00663F1B">
      <w:pPr>
        <w:adjustRightInd w:val="0"/>
        <w:jc w:val="both"/>
        <w:rPr>
          <w:b/>
          <w:bCs/>
          <w:spacing w:val="-2"/>
          <w:sz w:val="20"/>
          <w:lang w:val="en-CA"/>
        </w:rPr>
      </w:pPr>
      <w:r w:rsidRPr="00663F1B">
        <w:rPr>
          <w:b/>
          <w:bCs/>
          <w:spacing w:val="-2"/>
          <w:sz w:val="20"/>
          <w:lang w:val="en-CA"/>
        </w:rPr>
        <w:t xml:space="preserve">Geology and Mineralization </w:t>
      </w:r>
    </w:p>
    <w:p w14:paraId="0687DED0" w14:textId="77777777" w:rsidR="006B13BF" w:rsidRPr="00663F1B" w:rsidRDefault="006B13BF" w:rsidP="00663F1B">
      <w:pPr>
        <w:adjustRightInd w:val="0"/>
        <w:jc w:val="both"/>
        <w:rPr>
          <w:b/>
          <w:bCs/>
          <w:spacing w:val="-2"/>
          <w:sz w:val="20"/>
          <w:lang w:val="en-CA"/>
        </w:rPr>
      </w:pPr>
    </w:p>
    <w:p w14:paraId="6653ADC1" w14:textId="77777777" w:rsidR="00663F1B" w:rsidRPr="00663F1B" w:rsidRDefault="00663F1B" w:rsidP="00663F1B">
      <w:pPr>
        <w:adjustRightInd w:val="0"/>
        <w:jc w:val="both"/>
        <w:rPr>
          <w:spacing w:val="-2"/>
          <w:sz w:val="20"/>
          <w:lang w:val="en-CA"/>
        </w:rPr>
      </w:pPr>
      <w:r w:rsidRPr="00663F1B">
        <w:rPr>
          <w:spacing w:val="-2"/>
          <w:sz w:val="20"/>
          <w:lang w:val="en-CA"/>
        </w:rPr>
        <w:t xml:space="preserve">The majority of southern mainland Nova Scotia occurs within the Meguma Terrane (also known as Meguma Zone) that is structurally juxtaposed against the Avalon Terrane (Avalon Zone) to the north along the </w:t>
      </w:r>
      <w:proofErr w:type="spellStart"/>
      <w:r w:rsidRPr="00663F1B">
        <w:rPr>
          <w:spacing w:val="-2"/>
          <w:sz w:val="20"/>
          <w:lang w:val="en-CA"/>
        </w:rPr>
        <w:t>Cobequid-Chedabucto</w:t>
      </w:r>
      <w:proofErr w:type="spellEnd"/>
      <w:r w:rsidRPr="00663F1B">
        <w:rPr>
          <w:spacing w:val="-2"/>
          <w:sz w:val="20"/>
          <w:lang w:val="en-CA"/>
        </w:rPr>
        <w:t xml:space="preserve"> Fault system (Smith and </w:t>
      </w:r>
      <w:proofErr w:type="spellStart"/>
      <w:r w:rsidRPr="00663F1B">
        <w:rPr>
          <w:spacing w:val="-2"/>
          <w:sz w:val="20"/>
          <w:lang w:val="en-CA"/>
        </w:rPr>
        <w:t>Kontak</w:t>
      </w:r>
      <w:proofErr w:type="spellEnd"/>
      <w:r w:rsidRPr="00663F1B">
        <w:rPr>
          <w:spacing w:val="-2"/>
          <w:sz w:val="20"/>
          <w:lang w:val="en-CA"/>
        </w:rPr>
        <w:t xml:space="preserve">, 1996) within the Appalachian Orogen. The Meguma Supergroup occurs within the Meguma Terrane and consists of a Cambro-Ordovician turbidite sedimentary sequence formed along the continental margin of the Gondwana paleo-continent during closure of the Iapetus and </w:t>
      </w:r>
      <w:proofErr w:type="spellStart"/>
      <w:r w:rsidRPr="00663F1B">
        <w:rPr>
          <w:spacing w:val="-2"/>
          <w:sz w:val="20"/>
          <w:lang w:val="en-CA"/>
        </w:rPr>
        <w:t>Rheic</w:t>
      </w:r>
      <w:proofErr w:type="spellEnd"/>
      <w:r w:rsidRPr="00663F1B">
        <w:rPr>
          <w:spacing w:val="-2"/>
          <w:sz w:val="20"/>
          <w:lang w:val="en-CA"/>
        </w:rPr>
        <w:t xml:space="preserve"> oceans (Smith and </w:t>
      </w:r>
      <w:proofErr w:type="spellStart"/>
      <w:r w:rsidRPr="00663F1B">
        <w:rPr>
          <w:spacing w:val="-2"/>
          <w:sz w:val="20"/>
          <w:lang w:val="en-CA"/>
        </w:rPr>
        <w:t>Kontak</w:t>
      </w:r>
      <w:proofErr w:type="spellEnd"/>
      <w:r w:rsidRPr="00663F1B">
        <w:rPr>
          <w:spacing w:val="-2"/>
          <w:sz w:val="20"/>
          <w:lang w:val="en-CA"/>
        </w:rPr>
        <w:t xml:space="preserve">, 1996). </w:t>
      </w:r>
    </w:p>
    <w:p w14:paraId="333DB6A1" w14:textId="77777777" w:rsidR="00663F1B" w:rsidRDefault="00663F1B" w:rsidP="00663F1B">
      <w:pPr>
        <w:adjustRightInd w:val="0"/>
        <w:jc w:val="both"/>
        <w:rPr>
          <w:spacing w:val="-2"/>
          <w:sz w:val="20"/>
          <w:lang w:val="en-CA"/>
        </w:rPr>
      </w:pPr>
      <w:r w:rsidRPr="00663F1B">
        <w:rPr>
          <w:spacing w:val="-2"/>
          <w:sz w:val="20"/>
          <w:lang w:val="en-CA"/>
        </w:rPr>
        <w:t xml:space="preserve">The Meguma Supergroup is subdivided into the (1) Goldenville Group, a basal sandy flysch (greywacke) sequence that is estimated to be approximately 6.7 km thick, but with an unknown base; and the (2) Halifax Group, an overlying shale-rich flysch sequence that measures approximately 11.8 km in thickness (Sangster and Smith, 2007). The massive, thick-bedded greywacke sequence of the Goldenville Group is dark grey (carbonaceous) to light grey in colour and contains thin slate-rich horizons that commonly separate the thick, coarser beds. The Goldenville Group grades upwards through manganese-rich strata into a basal Halifax Group unit that consists of </w:t>
      </w:r>
      <w:proofErr w:type="spellStart"/>
      <w:r w:rsidRPr="00663F1B">
        <w:rPr>
          <w:spacing w:val="-2"/>
          <w:sz w:val="20"/>
          <w:lang w:val="en-CA"/>
        </w:rPr>
        <w:t>sulphidic</w:t>
      </w:r>
      <w:proofErr w:type="spellEnd"/>
      <w:r w:rsidRPr="00663F1B">
        <w:rPr>
          <w:spacing w:val="-2"/>
          <w:sz w:val="20"/>
          <w:lang w:val="en-CA"/>
        </w:rPr>
        <w:t xml:space="preserve"> black slate. The manganese-rich section, along with Tremadocian fossils, marks the transition between the two groups. Black, carbonaceous, </w:t>
      </w:r>
      <w:proofErr w:type="spellStart"/>
      <w:r w:rsidRPr="00663F1B">
        <w:rPr>
          <w:spacing w:val="-2"/>
          <w:sz w:val="20"/>
          <w:lang w:val="en-CA"/>
        </w:rPr>
        <w:t>sulphidic</w:t>
      </w:r>
      <w:proofErr w:type="spellEnd"/>
      <w:r w:rsidRPr="00663F1B">
        <w:rPr>
          <w:spacing w:val="-2"/>
          <w:sz w:val="20"/>
          <w:lang w:val="en-CA"/>
        </w:rPr>
        <w:t xml:space="preserve"> slate and thinly bedded to cross-laminated metasiltstone comprise much of the Halifax Group but lithologies in the uppermost stratigraphy consist mostly of grey-green slate and siltstone (Sangster and Smith, 2007).</w:t>
      </w:r>
    </w:p>
    <w:p w14:paraId="61941F72" w14:textId="77777777" w:rsidR="001742B6" w:rsidRDefault="001742B6" w:rsidP="00663F1B">
      <w:pPr>
        <w:adjustRightInd w:val="0"/>
        <w:jc w:val="both"/>
        <w:rPr>
          <w:spacing w:val="-2"/>
          <w:sz w:val="20"/>
          <w:lang w:val="en-CA"/>
        </w:rPr>
      </w:pPr>
    </w:p>
    <w:p w14:paraId="0A8733E8" w14:textId="4D466B2B" w:rsidR="00663F1B" w:rsidRDefault="00663F1B" w:rsidP="00663F1B">
      <w:pPr>
        <w:adjustRightInd w:val="0"/>
        <w:jc w:val="both"/>
        <w:rPr>
          <w:spacing w:val="-2"/>
          <w:sz w:val="20"/>
          <w:lang w:val="en-CA"/>
        </w:rPr>
      </w:pPr>
      <w:r w:rsidRPr="00663F1B">
        <w:rPr>
          <w:spacing w:val="-2"/>
          <w:sz w:val="20"/>
          <w:lang w:val="en-CA"/>
        </w:rPr>
        <w:t xml:space="preserve">The Meguma Supergroup is pervasively folded and characterised by kilometre-scale fold wavelengths and E-W to NE-SW axial trace directions. Folds are upright to slightly inclined, with plunges to both east and west. Doubly plunging fold trends produce domal structural culminations that in many instances correspond with historic gold producing districts. Cleavages are a predominant structural feature and include regional </w:t>
      </w:r>
      <w:proofErr w:type="spellStart"/>
      <w:r w:rsidRPr="00663F1B">
        <w:rPr>
          <w:spacing w:val="-2"/>
          <w:sz w:val="20"/>
          <w:lang w:val="en-CA"/>
        </w:rPr>
        <w:t>slatey</w:t>
      </w:r>
      <w:proofErr w:type="spellEnd"/>
      <w:r w:rsidRPr="00663F1B">
        <w:rPr>
          <w:spacing w:val="-2"/>
          <w:sz w:val="20"/>
          <w:lang w:val="en-CA"/>
        </w:rPr>
        <w:t xml:space="preserve"> cleavage, AC cleavage, and pressure-solution cleavage. The bedding-cleavage intersection lineation reflects local plunge variations and indicates a general non-cylindrical fold character (Horne, 1996). The Meguma Supergroup in the eastern part of Nova Scotia was metamorphosed to greenschist-amphibolite facies grade during the mid-Devonian Acadian Orogeny (ca. 400) and subsequently intruded by peraluminous granite, granodiorite, and minor mafic intrusions of mid- Devonian to Carboniferous age (375 Ma) (Sangster and Smith, 2007). </w:t>
      </w:r>
    </w:p>
    <w:p w14:paraId="218A38D9" w14:textId="77777777" w:rsidR="006B13BF" w:rsidRPr="00663F1B" w:rsidRDefault="006B13BF" w:rsidP="00663F1B">
      <w:pPr>
        <w:adjustRightInd w:val="0"/>
        <w:jc w:val="both"/>
        <w:rPr>
          <w:spacing w:val="-2"/>
          <w:sz w:val="20"/>
          <w:lang w:val="en-CA"/>
        </w:rPr>
      </w:pPr>
    </w:p>
    <w:p w14:paraId="62C2EA3C" w14:textId="77777777" w:rsidR="006B13BF" w:rsidRPr="00D77120" w:rsidRDefault="006B13BF" w:rsidP="006B13BF">
      <w:pPr>
        <w:adjustRightInd w:val="0"/>
        <w:jc w:val="both"/>
        <w:rPr>
          <w:b/>
          <w:spacing w:val="-2"/>
          <w:sz w:val="20"/>
        </w:rPr>
      </w:pPr>
      <w:r>
        <w:rPr>
          <w:spacing w:val="-2"/>
          <w:sz w:val="20"/>
          <w:lang w:val="en-CA"/>
        </w:rPr>
        <w:br w:type="page"/>
      </w:r>
      <w:r w:rsidRPr="00D77120">
        <w:rPr>
          <w:b/>
          <w:spacing w:val="-2"/>
          <w:sz w:val="20"/>
        </w:rPr>
        <w:lastRenderedPageBreak/>
        <w:t xml:space="preserve">EXPLORATION </w:t>
      </w:r>
      <w:r>
        <w:rPr>
          <w:b/>
          <w:spacing w:val="-2"/>
          <w:sz w:val="20"/>
        </w:rPr>
        <w:t xml:space="preserve">AND DEVELOPMENT </w:t>
      </w:r>
      <w:r w:rsidRPr="00D77120">
        <w:rPr>
          <w:b/>
          <w:spacing w:val="-2"/>
          <w:sz w:val="20"/>
        </w:rPr>
        <w:t>STRATEGY (CONTINUED)</w:t>
      </w:r>
    </w:p>
    <w:p w14:paraId="5470FEDF" w14:textId="0EA12543" w:rsidR="006B13BF" w:rsidRDefault="006B13BF" w:rsidP="00663F1B">
      <w:pPr>
        <w:adjustRightInd w:val="0"/>
        <w:jc w:val="both"/>
        <w:rPr>
          <w:spacing w:val="-2"/>
          <w:sz w:val="20"/>
          <w:lang w:val="en-CA"/>
        </w:rPr>
      </w:pPr>
    </w:p>
    <w:p w14:paraId="1AC3DBEC" w14:textId="682E4C75" w:rsidR="006B13BF" w:rsidRDefault="006B13BF" w:rsidP="006B13BF">
      <w:pPr>
        <w:adjustRightInd w:val="0"/>
        <w:jc w:val="both"/>
        <w:rPr>
          <w:b/>
          <w:bCs/>
          <w:spacing w:val="-2"/>
          <w:sz w:val="20"/>
          <w:lang w:val="en-CA"/>
        </w:rPr>
      </w:pPr>
      <w:r w:rsidRPr="00663F1B">
        <w:rPr>
          <w:b/>
          <w:bCs/>
          <w:spacing w:val="-2"/>
          <w:sz w:val="20"/>
          <w:lang w:val="en-CA"/>
        </w:rPr>
        <w:t xml:space="preserve">Geology and Mineralization </w:t>
      </w:r>
      <w:r>
        <w:rPr>
          <w:b/>
          <w:bCs/>
          <w:spacing w:val="-2"/>
          <w:sz w:val="20"/>
          <w:lang w:val="en-CA"/>
        </w:rPr>
        <w:t>(Continued)</w:t>
      </w:r>
    </w:p>
    <w:p w14:paraId="571F3243" w14:textId="77777777" w:rsidR="006B13BF" w:rsidRDefault="006B13BF" w:rsidP="00663F1B">
      <w:pPr>
        <w:adjustRightInd w:val="0"/>
        <w:jc w:val="both"/>
        <w:rPr>
          <w:spacing w:val="-2"/>
          <w:sz w:val="20"/>
          <w:lang w:val="en-CA"/>
        </w:rPr>
      </w:pPr>
    </w:p>
    <w:p w14:paraId="35AB6104" w14:textId="3C3C2CE9" w:rsidR="00663F1B" w:rsidRDefault="00663F1B" w:rsidP="00663F1B">
      <w:pPr>
        <w:adjustRightInd w:val="0"/>
        <w:jc w:val="both"/>
        <w:rPr>
          <w:spacing w:val="-2"/>
          <w:sz w:val="20"/>
          <w:lang w:val="en-CA"/>
        </w:rPr>
      </w:pPr>
      <w:r w:rsidRPr="00663F1B">
        <w:rPr>
          <w:spacing w:val="-2"/>
          <w:sz w:val="20"/>
          <w:lang w:val="en-CA"/>
        </w:rPr>
        <w:t xml:space="preserve">Known gold mineralization in the Meguma Supergroup is typically associated with tabular bedding-parallel quartz veins but also occurs within sulphide bearing, slate-rich host rock sequences of the district (Schofield, 2004). Many of the properties are underlain by greywackes and argillites of the Goldenville Group and historically defined gold mineralization in these areas typically occurs in </w:t>
      </w:r>
      <w:proofErr w:type="spellStart"/>
      <w:r w:rsidRPr="00663F1B">
        <w:rPr>
          <w:spacing w:val="-2"/>
          <w:sz w:val="20"/>
          <w:lang w:val="en-CA"/>
        </w:rPr>
        <w:t>stratabound</w:t>
      </w:r>
      <w:proofErr w:type="spellEnd"/>
      <w:r w:rsidRPr="00663F1B">
        <w:rPr>
          <w:spacing w:val="-2"/>
          <w:sz w:val="20"/>
          <w:lang w:val="en-CA"/>
        </w:rPr>
        <w:t xml:space="preserve"> quartz veining associated with local anticlines. However, potential exists for gold occurrences in argillite rich sections of local stratigraphy. Most currently defined gold occurrences in the Meguma Supergroup are associated with several prominent anticlinal structures such as the Caribou, Cochrane Hill, Beaver Dam, Fifteen Mile Stream, Goldenville, Killag, and Moose River anticlines. This includes saddle-reef, laminated leg-reef and </w:t>
      </w:r>
      <w:proofErr w:type="spellStart"/>
      <w:r w:rsidRPr="00663F1B">
        <w:rPr>
          <w:spacing w:val="-2"/>
          <w:sz w:val="20"/>
          <w:lang w:val="en-CA"/>
        </w:rPr>
        <w:t>en</w:t>
      </w:r>
      <w:proofErr w:type="spellEnd"/>
      <w:r w:rsidRPr="00663F1B">
        <w:rPr>
          <w:spacing w:val="-2"/>
          <w:sz w:val="20"/>
          <w:lang w:val="en-CA"/>
        </w:rPr>
        <w:t xml:space="preserve">-echelon </w:t>
      </w:r>
      <w:proofErr w:type="spellStart"/>
      <w:r w:rsidRPr="00663F1B">
        <w:rPr>
          <w:spacing w:val="-2"/>
          <w:sz w:val="20"/>
          <w:lang w:val="en-CA"/>
        </w:rPr>
        <w:t>stratabound</w:t>
      </w:r>
      <w:proofErr w:type="spellEnd"/>
      <w:r w:rsidRPr="00663F1B">
        <w:rPr>
          <w:spacing w:val="-2"/>
          <w:sz w:val="20"/>
          <w:lang w:val="en-CA"/>
        </w:rPr>
        <w:t xml:space="preserve"> types plus various discordant vein types (Horne and Jodrey, 2001). Low gold levels also occur locally in the wall rock adjacent to veins in some of the deposit areas. Gold-associated </w:t>
      </w:r>
      <w:proofErr w:type="gramStart"/>
      <w:r w:rsidRPr="00663F1B">
        <w:rPr>
          <w:spacing w:val="-2"/>
          <w:sz w:val="20"/>
          <w:lang w:val="en-CA"/>
        </w:rPr>
        <w:t>alteration in these districts include</w:t>
      </w:r>
      <w:proofErr w:type="gramEnd"/>
      <w:r w:rsidRPr="00663F1B">
        <w:rPr>
          <w:spacing w:val="-2"/>
          <w:sz w:val="20"/>
          <w:lang w:val="en-CA"/>
        </w:rPr>
        <w:t xml:space="preserve"> chloritization, </w:t>
      </w:r>
      <w:proofErr w:type="spellStart"/>
      <w:r w:rsidRPr="00663F1B">
        <w:rPr>
          <w:spacing w:val="-2"/>
          <w:sz w:val="20"/>
          <w:lang w:val="en-CA"/>
        </w:rPr>
        <w:t>silicification</w:t>
      </w:r>
      <w:proofErr w:type="spellEnd"/>
      <w:r w:rsidRPr="00663F1B">
        <w:rPr>
          <w:spacing w:val="-2"/>
          <w:sz w:val="20"/>
          <w:lang w:val="en-CA"/>
        </w:rPr>
        <w:t xml:space="preserve">, carbonation, and </w:t>
      </w:r>
      <w:proofErr w:type="spellStart"/>
      <w:r w:rsidRPr="00663F1B">
        <w:rPr>
          <w:spacing w:val="-2"/>
          <w:sz w:val="20"/>
          <w:lang w:val="en-CA"/>
        </w:rPr>
        <w:t>sericitization</w:t>
      </w:r>
      <w:proofErr w:type="spellEnd"/>
      <w:r w:rsidRPr="00663F1B">
        <w:rPr>
          <w:spacing w:val="-2"/>
          <w:sz w:val="20"/>
          <w:lang w:val="en-CA"/>
        </w:rPr>
        <w:t xml:space="preserve">. Carbonate and chlorite alteration commonly occur in association with quartz vein wall rock contacts and sulphides such as arsenopyrite, pyrite and pyrrhotite commonly occur in association with the veins. </w:t>
      </w:r>
    </w:p>
    <w:p w14:paraId="0AB59433" w14:textId="77777777" w:rsidR="001742B6" w:rsidRPr="00663F1B" w:rsidRDefault="001742B6" w:rsidP="00663F1B">
      <w:pPr>
        <w:adjustRightInd w:val="0"/>
        <w:jc w:val="both"/>
        <w:rPr>
          <w:spacing w:val="-2"/>
          <w:sz w:val="20"/>
          <w:lang w:val="en-CA"/>
        </w:rPr>
      </w:pPr>
    </w:p>
    <w:p w14:paraId="73030F6A" w14:textId="77777777" w:rsidR="00663F1B" w:rsidRDefault="00663F1B" w:rsidP="00663F1B">
      <w:pPr>
        <w:adjustRightInd w:val="0"/>
        <w:jc w:val="both"/>
        <w:rPr>
          <w:spacing w:val="-2"/>
          <w:sz w:val="20"/>
          <w:lang w:val="en-CA"/>
        </w:rPr>
      </w:pPr>
      <w:r w:rsidRPr="00663F1B">
        <w:rPr>
          <w:spacing w:val="-2"/>
          <w:sz w:val="20"/>
          <w:lang w:val="en-CA"/>
        </w:rPr>
        <w:t xml:space="preserve">Gold mineralization in the Killag area occurs in association with both bedding parallel veins and discordant quartz vein arrays and is particularly focused in the hinge area of the Killag anticline. This fold plunges to the east at approximately 30° in the area of past mining activity and is asymmetric in geometry, having a steeply south-dipping to overturned south limb and a moderately north-dipping north limb. Historical gold mining was focused on bedding parallel quartz veins that generally occur on the steeply dipping south fold limb. The Stuart Lead (vein) is the most prominent of these veins and was </w:t>
      </w:r>
      <w:proofErr w:type="spellStart"/>
      <w:r w:rsidRPr="00663F1B">
        <w:rPr>
          <w:spacing w:val="-2"/>
          <w:sz w:val="20"/>
          <w:lang w:val="en-CA"/>
        </w:rPr>
        <w:t>stoped</w:t>
      </w:r>
      <w:proofErr w:type="spellEnd"/>
      <w:r w:rsidRPr="00663F1B">
        <w:rPr>
          <w:spacing w:val="-2"/>
          <w:sz w:val="20"/>
          <w:lang w:val="en-CA"/>
        </w:rPr>
        <w:t xml:space="preserve"> to variable extents within historical underground workings. Gold mineralization also occurs in slate beds that host auriferous quartz veins which exhibit a relatively complex assemblage of sulfides and visible gold. Numerous gold showings occur in the area where a north-trending fault crosses this anticline. </w:t>
      </w:r>
    </w:p>
    <w:p w14:paraId="577339C3" w14:textId="77777777" w:rsidR="001742B6" w:rsidRPr="00663F1B" w:rsidRDefault="001742B6" w:rsidP="00663F1B">
      <w:pPr>
        <w:adjustRightInd w:val="0"/>
        <w:jc w:val="both"/>
        <w:rPr>
          <w:spacing w:val="-2"/>
          <w:sz w:val="20"/>
          <w:lang w:val="en-CA"/>
        </w:rPr>
      </w:pPr>
    </w:p>
    <w:p w14:paraId="7A7BC92D" w14:textId="77777777" w:rsidR="00663F1B" w:rsidRDefault="00663F1B" w:rsidP="00663F1B">
      <w:pPr>
        <w:adjustRightInd w:val="0"/>
        <w:jc w:val="both"/>
        <w:rPr>
          <w:spacing w:val="-2"/>
          <w:sz w:val="20"/>
          <w:lang w:val="en-CA"/>
        </w:rPr>
      </w:pPr>
      <w:r w:rsidRPr="00663F1B">
        <w:rPr>
          <w:spacing w:val="-2"/>
          <w:sz w:val="20"/>
          <w:lang w:val="en-CA"/>
        </w:rPr>
        <w:t>The Touquoy West project area occurs to the west and south of St Barbara’s Touquoy deposit and on trend with the Moose River and Fifteen Mile Stream anticlines. The Touquoy deposit and the historical Higgin’s and Lawlor gold mines both occur within the Moose River Formation near the hinge of the Moose River anticline. The hinge is disrupted by numerous northwest and northeast trending faults and the anticline geometry varies along the hinge. Within the Touquoy deposit, the argillite of the Moose River Formation is up to 180 metres thick in the northern limb near the hinge and is thinner (25 to 60 metres) in the southern limb. Gold mineralization occurs on both the north and south limbs in bedding parallel</w:t>
      </w:r>
      <w:r>
        <w:rPr>
          <w:spacing w:val="-2"/>
          <w:sz w:val="20"/>
          <w:lang w:val="en-CA"/>
        </w:rPr>
        <w:t xml:space="preserve"> </w:t>
      </w:r>
      <w:r w:rsidRPr="00663F1B">
        <w:rPr>
          <w:spacing w:val="-2"/>
          <w:sz w:val="20"/>
          <w:lang w:val="en-CA"/>
        </w:rPr>
        <w:t>quartz veins and stringers and, most prominently, as a disseminated phase in thick argillite units in the anticlinal hinge zone.</w:t>
      </w:r>
    </w:p>
    <w:p w14:paraId="79E1AD4B" w14:textId="77777777" w:rsidR="00D77120" w:rsidRDefault="00D77120" w:rsidP="00663F1B">
      <w:pPr>
        <w:adjustRightInd w:val="0"/>
        <w:jc w:val="both"/>
        <w:rPr>
          <w:spacing w:val="-2"/>
          <w:sz w:val="20"/>
        </w:rPr>
      </w:pPr>
    </w:p>
    <w:p w14:paraId="61C21074" w14:textId="77777777" w:rsidR="00D77120" w:rsidRPr="00D77120" w:rsidRDefault="00D77120" w:rsidP="00D77120">
      <w:pPr>
        <w:adjustRightInd w:val="0"/>
        <w:jc w:val="both"/>
        <w:rPr>
          <w:spacing w:val="-2"/>
          <w:sz w:val="20"/>
        </w:rPr>
      </w:pPr>
      <w:r w:rsidRPr="00D77120">
        <w:rPr>
          <w:spacing w:val="-2"/>
          <w:sz w:val="20"/>
        </w:rPr>
        <w:t>Below is a map of the Company’s gold claim license areas:</w:t>
      </w:r>
    </w:p>
    <w:p w14:paraId="6CFE15DE" w14:textId="77777777" w:rsidR="00D77120" w:rsidRPr="004427A8" w:rsidRDefault="00D77120" w:rsidP="00663F1B">
      <w:pPr>
        <w:adjustRightInd w:val="0"/>
        <w:jc w:val="both"/>
        <w:rPr>
          <w:spacing w:val="-2"/>
          <w:sz w:val="20"/>
        </w:rPr>
      </w:pPr>
    </w:p>
    <w:p w14:paraId="2BB7DDAB" w14:textId="0A25EBB8" w:rsidR="00D77120" w:rsidRPr="00D77120" w:rsidRDefault="00936F3C" w:rsidP="00D7564D">
      <w:pPr>
        <w:autoSpaceDE w:val="0"/>
        <w:autoSpaceDN w:val="0"/>
        <w:adjustRightInd w:val="0"/>
        <w:spacing w:after="120"/>
        <w:ind w:hanging="425"/>
        <w:jc w:val="both"/>
        <w:rPr>
          <w:b/>
          <w:spacing w:val="-2"/>
          <w:sz w:val="20"/>
        </w:rPr>
      </w:pPr>
      <w:r>
        <w:rPr>
          <w:noProof/>
          <w:sz w:val="20"/>
        </w:rPr>
        <w:drawing>
          <wp:inline distT="0" distB="0" distL="0" distR="0" wp14:anchorId="058849D8" wp14:editId="3C6502B7">
            <wp:extent cx="3248025" cy="251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517775"/>
                    </a:xfrm>
                    <a:prstGeom prst="rect">
                      <a:avLst/>
                    </a:prstGeom>
                    <a:noFill/>
                    <a:ln>
                      <a:noFill/>
                    </a:ln>
                  </pic:spPr>
                </pic:pic>
              </a:graphicData>
            </a:graphic>
          </wp:inline>
        </w:drawing>
      </w:r>
      <w:r w:rsidR="006C4BB1">
        <w:rPr>
          <w:spacing w:val="-2"/>
          <w:sz w:val="20"/>
        </w:rPr>
        <w:br w:type="page"/>
      </w:r>
      <w:r w:rsidR="00D77120" w:rsidRPr="00D77120">
        <w:rPr>
          <w:b/>
          <w:spacing w:val="-2"/>
          <w:sz w:val="20"/>
        </w:rPr>
        <w:lastRenderedPageBreak/>
        <w:t xml:space="preserve">EXPLORATION </w:t>
      </w:r>
      <w:r w:rsidR="00D77120">
        <w:rPr>
          <w:b/>
          <w:spacing w:val="-2"/>
          <w:sz w:val="20"/>
        </w:rPr>
        <w:t xml:space="preserve">AND DEVELOPMENT </w:t>
      </w:r>
      <w:r w:rsidR="00D77120" w:rsidRPr="00D77120">
        <w:rPr>
          <w:b/>
          <w:spacing w:val="-2"/>
          <w:sz w:val="20"/>
        </w:rPr>
        <w:t>STRATEGY (CONTINUED)</w:t>
      </w:r>
    </w:p>
    <w:p w14:paraId="1046806F" w14:textId="77777777" w:rsidR="00A2594A" w:rsidRDefault="00A2594A" w:rsidP="006C4BB1">
      <w:pPr>
        <w:adjustRightInd w:val="0"/>
        <w:jc w:val="both"/>
        <w:rPr>
          <w:spacing w:val="-2"/>
          <w:sz w:val="20"/>
          <w:lang w:val="en-CA"/>
        </w:rPr>
      </w:pPr>
      <w:r w:rsidRPr="00A2594A">
        <w:rPr>
          <w:spacing w:val="-2"/>
          <w:sz w:val="20"/>
          <w:lang w:val="en-CA"/>
        </w:rPr>
        <w:t>Exploration work completed on the MegumaGold exploration licences in Eastern Nova Scotia include historical data compilation, a regional airborne magnetics/radiometrics survey, a regional LiDAR survey, a geological interpretation of the LiDAR dataset, geological modeling, prospecting, geological mapping and outcrop sampling, combined ground VLF and magnetics geophysical surveying, glacial till, and B-horizon soil geochemistry surveys, and a reverse circulation (RC) drilling program. These programs were carried out over a</w:t>
      </w:r>
      <w:r w:rsidR="00A45AAB">
        <w:rPr>
          <w:spacing w:val="-2"/>
          <w:sz w:val="20"/>
          <w:lang w:val="en-CA"/>
        </w:rPr>
        <w:t>n</w:t>
      </w:r>
      <w:r w:rsidRPr="00A2594A">
        <w:rPr>
          <w:spacing w:val="-2"/>
          <w:sz w:val="20"/>
          <w:lang w:val="en-CA"/>
        </w:rPr>
        <w:t xml:space="preserve"> 18-month period starting in early 2018</w:t>
      </w:r>
      <w:r w:rsidR="00A45AAB">
        <w:rPr>
          <w:spacing w:val="-2"/>
          <w:sz w:val="20"/>
          <w:lang w:val="en-CA"/>
        </w:rPr>
        <w:t xml:space="preserve">. </w:t>
      </w:r>
    </w:p>
    <w:p w14:paraId="7BB9E6E1" w14:textId="77777777" w:rsidR="00A2594A" w:rsidRDefault="00A2594A" w:rsidP="006C4BB1">
      <w:pPr>
        <w:adjustRightInd w:val="0"/>
        <w:jc w:val="both"/>
        <w:rPr>
          <w:spacing w:val="-2"/>
          <w:sz w:val="20"/>
          <w:lang w:val="en-CA"/>
        </w:rPr>
      </w:pPr>
    </w:p>
    <w:p w14:paraId="25DB4DA9" w14:textId="77777777" w:rsidR="00A2594A" w:rsidRPr="00A2594A" w:rsidRDefault="00A2594A" w:rsidP="00A2594A">
      <w:pPr>
        <w:adjustRightInd w:val="0"/>
        <w:jc w:val="both"/>
        <w:rPr>
          <w:b/>
          <w:bCs/>
          <w:spacing w:val="-2"/>
          <w:sz w:val="20"/>
          <w:lang w:val="en-CA"/>
        </w:rPr>
      </w:pPr>
      <w:r w:rsidRPr="00A2594A">
        <w:rPr>
          <w:b/>
          <w:bCs/>
          <w:spacing w:val="-2"/>
          <w:sz w:val="20"/>
          <w:lang w:val="en-CA"/>
        </w:rPr>
        <w:t xml:space="preserve">Till, Soil, and Rock sampling </w:t>
      </w:r>
    </w:p>
    <w:p w14:paraId="6BC6EF5E" w14:textId="77777777" w:rsidR="00965C9A" w:rsidRDefault="00965C9A" w:rsidP="00A2594A">
      <w:pPr>
        <w:adjustRightInd w:val="0"/>
        <w:jc w:val="both"/>
        <w:rPr>
          <w:spacing w:val="-2"/>
          <w:sz w:val="20"/>
          <w:lang w:val="en-CA"/>
        </w:rPr>
      </w:pPr>
    </w:p>
    <w:p w14:paraId="693F130D" w14:textId="77777777" w:rsidR="00A2594A" w:rsidRDefault="00A2594A" w:rsidP="00A2594A">
      <w:pPr>
        <w:adjustRightInd w:val="0"/>
        <w:jc w:val="both"/>
        <w:rPr>
          <w:spacing w:val="-2"/>
          <w:sz w:val="20"/>
          <w:lang w:val="en-CA"/>
        </w:rPr>
      </w:pPr>
      <w:r w:rsidRPr="00A2594A">
        <w:rPr>
          <w:spacing w:val="-2"/>
          <w:sz w:val="20"/>
          <w:lang w:val="en-CA"/>
        </w:rPr>
        <w:t xml:space="preserve">A total of 1,482 rock samples were collected from the MegumaGold project areas, and 356 samples were analyzed for gold. Gold above the detection limit (&gt;2.5 ppb Au) was recorded in outcrop or boulder samples at the Cochrane Hill area (23 ppb Au), Fifteen Mile Stream (6 ppb Au), Killag (12 ppb Au) and Dufferin property areas (3 ppb Au). Gold was also detected above the detection limit from samples taken from historic waste rock piles on the Killag property at the former historic mine site (up to 14.79 g/t). </w:t>
      </w:r>
    </w:p>
    <w:p w14:paraId="33CABE94" w14:textId="77777777" w:rsidR="002C7A89" w:rsidRPr="00A2594A" w:rsidRDefault="002C7A89" w:rsidP="00A2594A">
      <w:pPr>
        <w:adjustRightInd w:val="0"/>
        <w:jc w:val="both"/>
        <w:rPr>
          <w:spacing w:val="-2"/>
          <w:sz w:val="20"/>
          <w:lang w:val="en-CA"/>
        </w:rPr>
      </w:pPr>
    </w:p>
    <w:p w14:paraId="03FDF9FA" w14:textId="77777777" w:rsidR="00A2594A" w:rsidRDefault="00A2594A" w:rsidP="00A2594A">
      <w:pPr>
        <w:adjustRightInd w:val="0"/>
        <w:jc w:val="both"/>
        <w:rPr>
          <w:spacing w:val="-2"/>
          <w:sz w:val="20"/>
          <w:lang w:val="en-CA"/>
        </w:rPr>
      </w:pPr>
      <w:r w:rsidRPr="00A2594A">
        <w:rPr>
          <w:spacing w:val="-2"/>
          <w:sz w:val="20"/>
          <w:lang w:val="en-CA"/>
        </w:rPr>
        <w:t>A total of 189 till samples were collected during July and August of 2019 on the MegumaGold exploration licences. Gold values range from 5 to 19 ppb and are distributed throughout the different property areas. Arsenic values range from 5 to 75 ppm with a detection limit of 5 ppb. Gold anomalous samples from the Killag property areas are located along the trends of interpreted anticlinal structures. Gold results for a large B-horizon soil geochemistry survey carried out at the Touquoy West property ranging from 5 to 56 ppb with a detection limit of 5 ppb. Arsenic results returned for the same survey range from 2 to 900 ppm with a detection limit of 2 ppm. The soil geochemistry survey was successful at outlining three main arsenic-gold anomalies on the Touquoy West property. These anomalies parallel the interpreted northeast trend of the Moose River anticlinal fold corridor and are developed in areas either directly overlying, or to the south of, the interpreted main fold hinge zone.</w:t>
      </w:r>
    </w:p>
    <w:p w14:paraId="416BA6DD" w14:textId="77777777" w:rsidR="00A2594A" w:rsidRDefault="00A2594A" w:rsidP="00A2594A">
      <w:pPr>
        <w:adjustRightInd w:val="0"/>
        <w:jc w:val="both"/>
        <w:rPr>
          <w:spacing w:val="-2"/>
          <w:sz w:val="20"/>
          <w:lang w:val="en-CA"/>
        </w:rPr>
      </w:pPr>
    </w:p>
    <w:p w14:paraId="59ED4B38" w14:textId="77777777" w:rsidR="00A2594A" w:rsidRPr="00A2594A" w:rsidRDefault="00A2594A" w:rsidP="00A2594A">
      <w:pPr>
        <w:adjustRightInd w:val="0"/>
        <w:jc w:val="both"/>
        <w:rPr>
          <w:spacing w:val="-2"/>
          <w:sz w:val="20"/>
          <w:lang w:val="en-CA"/>
        </w:rPr>
      </w:pPr>
      <w:r w:rsidRPr="00A2594A">
        <w:rPr>
          <w:b/>
          <w:bCs/>
          <w:spacing w:val="-2"/>
          <w:sz w:val="20"/>
          <w:lang w:val="en-CA"/>
        </w:rPr>
        <w:t xml:space="preserve">Combined Ground Magnetometer/VLF-EM Surveys and Touquoy West IP Survey </w:t>
      </w:r>
    </w:p>
    <w:p w14:paraId="49D9DCFD" w14:textId="77777777" w:rsidR="00965C9A" w:rsidRDefault="00965C9A" w:rsidP="00A2594A">
      <w:pPr>
        <w:adjustRightInd w:val="0"/>
        <w:jc w:val="both"/>
        <w:rPr>
          <w:spacing w:val="-2"/>
          <w:sz w:val="20"/>
          <w:lang w:val="en-CA"/>
        </w:rPr>
      </w:pPr>
    </w:p>
    <w:p w14:paraId="7F6B8280" w14:textId="1CF3363E" w:rsidR="00A2594A" w:rsidRDefault="00A45AAB" w:rsidP="00A2594A">
      <w:pPr>
        <w:adjustRightInd w:val="0"/>
        <w:jc w:val="both"/>
        <w:rPr>
          <w:spacing w:val="-2"/>
          <w:sz w:val="20"/>
        </w:rPr>
      </w:pPr>
      <w:r>
        <w:rPr>
          <w:spacing w:val="-2"/>
          <w:sz w:val="20"/>
          <w:lang w:val="en-CA"/>
        </w:rPr>
        <w:t>The Company</w:t>
      </w:r>
      <w:r w:rsidR="00A2594A" w:rsidRPr="00A2594A">
        <w:rPr>
          <w:spacing w:val="-2"/>
          <w:sz w:val="20"/>
          <w:lang w:val="en-CA"/>
        </w:rPr>
        <w:t xml:space="preserve"> completed 25.83 line kilometres of Induced Polarization (IP) surveying in the Touquoy West project area in mid February 2020 based on the results of approximately 80 line km of high resolution ground magnetometer and VLF-EM surveying and a soil geochemistry program completed on the property in early 2019. The combined ground magnetometer and VLF-EM survey results were merged with compiled historical survey results from the adjacent St. Barbara Touquoy gold deposit property and the resulting dataset was independently processed to maximize definition of stratigraphic trends. These geophysical results were then used to interpret strike extensions of argillite-bearing stratigraphic intervals and anticlinal fold structures that host gold mineralization on the St. Barbara property</w:t>
      </w:r>
      <w:r>
        <w:rPr>
          <w:spacing w:val="-2"/>
          <w:sz w:val="20"/>
          <w:lang w:val="en-CA"/>
        </w:rPr>
        <w:t xml:space="preserve"> </w:t>
      </w:r>
      <w:r w:rsidR="00A2594A" w:rsidRPr="00A2594A">
        <w:rPr>
          <w:spacing w:val="-2"/>
          <w:sz w:val="20"/>
          <w:lang w:val="en-CA"/>
        </w:rPr>
        <w:t>onto the Touquoy West property, and to assist with selecting grid areas for the IP survey. The VLF-EM results define a conductivity trend coincident with the faulted axial zone of the main gold-focusing anticlinal fold in this</w:t>
      </w:r>
      <w:r w:rsidR="00A2594A">
        <w:rPr>
          <w:spacing w:val="-2"/>
          <w:sz w:val="20"/>
          <w:lang w:val="en-CA"/>
        </w:rPr>
        <w:t xml:space="preserve"> </w:t>
      </w:r>
      <w:r w:rsidR="00A2594A" w:rsidRPr="00A2594A">
        <w:rPr>
          <w:spacing w:val="-2"/>
          <w:sz w:val="20"/>
        </w:rPr>
        <w:t xml:space="preserve">gold district. This is interpreted to represent the presence of sheared argillite in the hinge zone of the anticline and can be traced southwest from the Touquoy gold mine area for at least 6 km to the western boundary of the Touquoy West survey grid, where it remains open along strike onto claims optioned in 2019 by MegumaGold from Genius Metals Inc. </w:t>
      </w:r>
    </w:p>
    <w:p w14:paraId="5A7A5C90" w14:textId="77777777" w:rsidR="00555CF4" w:rsidRPr="00A2594A" w:rsidRDefault="00555CF4" w:rsidP="00A2594A">
      <w:pPr>
        <w:adjustRightInd w:val="0"/>
        <w:jc w:val="both"/>
        <w:rPr>
          <w:spacing w:val="-2"/>
          <w:sz w:val="20"/>
        </w:rPr>
      </w:pPr>
    </w:p>
    <w:p w14:paraId="60683C13" w14:textId="150E3770" w:rsidR="00A2594A" w:rsidRDefault="00A2594A" w:rsidP="00A2594A">
      <w:pPr>
        <w:adjustRightInd w:val="0"/>
        <w:jc w:val="both"/>
        <w:rPr>
          <w:spacing w:val="-2"/>
          <w:sz w:val="20"/>
          <w:lang w:val="en-CA"/>
        </w:rPr>
      </w:pPr>
      <w:r w:rsidRPr="00A2594A">
        <w:rPr>
          <w:spacing w:val="-2"/>
          <w:sz w:val="20"/>
          <w:lang w:val="en-CA"/>
        </w:rPr>
        <w:t xml:space="preserve">Combined IP survey and geological compilation program results indicate that a well-developed chargeability anomaly coincides with the interpreted main anticlinal fold hinge zone trend on the Touquoy West property. This IP anomaly can be traced discontinuously for approximately 3.6 km across the Touquoy West survey grid and coincides with arsenic and gold soil geochemistry anomalies at several locations along its length. The anticlinal fold hinge zone trend currently remains open beyond the western grid limit onto MegumaGold exploration licences optioned from Genius. A second prominent chargeability anomaly occurs approximately 300 metres north of the main trend and has a strike length of approximately 700 metres. This chargeability anomaly also appears to coincide with anomalous 2019 soil arsenic and gold soil survey results and is associated with an interpreted argillite-bearing stratigraphic interval that may indicate a secondary anticlinal fold trend. A third chargeability anomaly west of the detailed survey block has been tentatively correlated between three survey lines along an 800-metre strike length. This third anomaly parallels the southern margin of a thick unit of interpreted argillite stratigraphy and is supported locally by anomalous arsenic and gold soil survey values. Resistivity anomalies occur peripherally to all three main chargeability anomaly trends and may mark zones of bedrock silicification associated with mineralization. The IP survey chargeability responses detected at Touquoy West, which are in part spatially associated with existing soil geochemistry, magnetometer, and </w:t>
      </w:r>
      <w:r w:rsidRPr="00A2594A">
        <w:rPr>
          <w:spacing w:val="-2"/>
          <w:sz w:val="20"/>
          <w:lang w:val="en-CA"/>
        </w:rPr>
        <w:lastRenderedPageBreak/>
        <w:t>VLF-EM anomalies, may indicate the presence of disseminated sulphide mineralization similar in style to that present adjacent to the Touquoy deposit located a few kilometres to the east along the Moose River Anticline.</w:t>
      </w:r>
    </w:p>
    <w:p w14:paraId="45FFA8B5" w14:textId="77777777" w:rsidR="00965C9A" w:rsidRDefault="00965C9A" w:rsidP="006B13BF">
      <w:pPr>
        <w:adjustRightInd w:val="0"/>
        <w:jc w:val="both"/>
        <w:rPr>
          <w:b/>
          <w:spacing w:val="-2"/>
          <w:sz w:val="20"/>
        </w:rPr>
      </w:pPr>
    </w:p>
    <w:p w14:paraId="373F778C" w14:textId="77777777" w:rsidR="006B13BF" w:rsidRPr="00C06682" w:rsidRDefault="006B13BF" w:rsidP="006B13BF">
      <w:pPr>
        <w:adjustRightInd w:val="0"/>
        <w:jc w:val="both"/>
        <w:rPr>
          <w:b/>
          <w:spacing w:val="-2"/>
          <w:sz w:val="20"/>
        </w:rPr>
      </w:pPr>
      <w:r w:rsidRPr="00C06682">
        <w:rPr>
          <w:b/>
          <w:spacing w:val="-2"/>
          <w:sz w:val="20"/>
        </w:rPr>
        <w:t>EXPLORATION AND DEVELOPMENT STRATEGY (CONTINUED)</w:t>
      </w:r>
    </w:p>
    <w:p w14:paraId="19D5942C" w14:textId="77777777" w:rsidR="00A2594A" w:rsidRDefault="00A2594A" w:rsidP="00A2594A">
      <w:pPr>
        <w:adjustRightInd w:val="0"/>
        <w:jc w:val="both"/>
        <w:rPr>
          <w:b/>
          <w:spacing w:val="-2"/>
          <w:sz w:val="20"/>
        </w:rPr>
      </w:pPr>
    </w:p>
    <w:p w14:paraId="31A22BB6" w14:textId="77777777" w:rsidR="00A2594A" w:rsidRPr="00A2594A" w:rsidRDefault="00A2594A" w:rsidP="00A2594A">
      <w:pPr>
        <w:adjustRightInd w:val="0"/>
        <w:jc w:val="both"/>
        <w:rPr>
          <w:b/>
          <w:spacing w:val="-2"/>
          <w:sz w:val="20"/>
        </w:rPr>
      </w:pPr>
      <w:r w:rsidRPr="00A2594A">
        <w:rPr>
          <w:b/>
          <w:spacing w:val="-2"/>
          <w:sz w:val="20"/>
        </w:rPr>
        <w:t xml:space="preserve">Exploration Model Developed </w:t>
      </w:r>
    </w:p>
    <w:p w14:paraId="7BF7F693" w14:textId="77777777" w:rsidR="00965C9A" w:rsidRDefault="00965C9A" w:rsidP="00A2594A">
      <w:pPr>
        <w:adjustRightInd w:val="0"/>
        <w:jc w:val="both"/>
        <w:rPr>
          <w:spacing w:val="-2"/>
          <w:sz w:val="20"/>
        </w:rPr>
      </w:pPr>
    </w:p>
    <w:p w14:paraId="3573A2C9" w14:textId="77777777" w:rsidR="00A2594A" w:rsidRPr="00A2594A" w:rsidDel="005324ED" w:rsidRDefault="00A2594A" w:rsidP="00A2594A">
      <w:pPr>
        <w:adjustRightInd w:val="0"/>
        <w:jc w:val="both"/>
        <w:rPr>
          <w:spacing w:val="-2"/>
          <w:sz w:val="20"/>
        </w:rPr>
      </w:pPr>
      <w:r w:rsidRPr="00A2594A">
        <w:rPr>
          <w:spacing w:val="-2"/>
          <w:sz w:val="20"/>
        </w:rPr>
        <w:t xml:space="preserve">As a result of these efforts, the Company has developed a unique prospectivity model for identification of depositional gold environments within its district-scale land holdings. MegumaGold believes that this data analysis compilation and the resulting exploration model are significant achievements that will not only expedite and augment the ability to identify prime targets, but that will also greatly reduce the cost of producing results that have the potential to be converted to NI 43-101 standard resources. This program has yielded over 40 drilling targets for further investigation across the Company's prolific land </w:t>
      </w:r>
      <w:proofErr w:type="gramStart"/>
      <w:r w:rsidRPr="00A2594A">
        <w:rPr>
          <w:spacing w:val="-2"/>
          <w:sz w:val="20"/>
        </w:rPr>
        <w:t>package</w:t>
      </w:r>
      <w:r w:rsidR="00A73E07">
        <w:rPr>
          <w:spacing w:val="-2"/>
          <w:sz w:val="20"/>
        </w:rPr>
        <w:t xml:space="preserve"> which are</w:t>
      </w:r>
      <w:proofErr w:type="gramEnd"/>
      <w:r w:rsidR="00A73E07">
        <w:rPr>
          <w:spacing w:val="-2"/>
          <w:sz w:val="20"/>
        </w:rPr>
        <w:t xml:space="preserve"> classified on</w:t>
      </w:r>
      <w:r w:rsidRPr="00A2594A">
        <w:rPr>
          <w:spacing w:val="-2"/>
          <w:sz w:val="20"/>
        </w:rPr>
        <w:t xml:space="preserve"> priority based on the following characteristics: </w:t>
      </w:r>
    </w:p>
    <w:p w14:paraId="3038BF4E" w14:textId="77777777" w:rsidR="00A2594A" w:rsidRPr="00A2594A" w:rsidDel="005324ED" w:rsidRDefault="00A2594A" w:rsidP="00A2594A">
      <w:pPr>
        <w:adjustRightInd w:val="0"/>
        <w:jc w:val="both"/>
        <w:rPr>
          <w:spacing w:val="-2"/>
          <w:sz w:val="20"/>
        </w:rPr>
      </w:pPr>
    </w:p>
    <w:p w14:paraId="0C0FD55A" w14:textId="77777777" w:rsidR="00A2594A" w:rsidRPr="00A2594A" w:rsidRDefault="00A2594A" w:rsidP="00A2594A">
      <w:pPr>
        <w:adjustRightInd w:val="0"/>
        <w:jc w:val="both"/>
        <w:rPr>
          <w:spacing w:val="-2"/>
          <w:sz w:val="20"/>
        </w:rPr>
      </w:pPr>
      <w:r w:rsidRPr="00A2594A">
        <w:rPr>
          <w:spacing w:val="-2"/>
          <w:sz w:val="20"/>
        </w:rPr>
        <w:t xml:space="preserve">1. High amplitude magnetic response; </w:t>
      </w:r>
    </w:p>
    <w:p w14:paraId="56789225" w14:textId="77777777" w:rsidR="00A2594A" w:rsidRPr="00A2594A" w:rsidRDefault="00A2594A" w:rsidP="00A2594A">
      <w:pPr>
        <w:adjustRightInd w:val="0"/>
        <w:jc w:val="both"/>
        <w:rPr>
          <w:spacing w:val="-2"/>
          <w:sz w:val="20"/>
        </w:rPr>
      </w:pPr>
      <w:r w:rsidRPr="00A2594A">
        <w:rPr>
          <w:spacing w:val="-2"/>
          <w:sz w:val="20"/>
        </w:rPr>
        <w:t xml:space="preserve">2. Touqouy-like geochemical signature; </w:t>
      </w:r>
    </w:p>
    <w:p w14:paraId="6A8B74F9" w14:textId="77777777" w:rsidR="00A2594A" w:rsidRPr="00A2594A" w:rsidRDefault="00A2594A" w:rsidP="00A2594A">
      <w:pPr>
        <w:adjustRightInd w:val="0"/>
        <w:jc w:val="both"/>
        <w:rPr>
          <w:spacing w:val="-2"/>
          <w:sz w:val="20"/>
        </w:rPr>
      </w:pPr>
      <w:r w:rsidRPr="00A2594A">
        <w:rPr>
          <w:spacing w:val="-2"/>
          <w:sz w:val="20"/>
        </w:rPr>
        <w:t xml:space="preserve">3. Gold bearing anticlinal structure; </w:t>
      </w:r>
    </w:p>
    <w:p w14:paraId="03136501" w14:textId="77777777" w:rsidR="00A2594A" w:rsidRPr="00A2594A" w:rsidRDefault="00A2594A" w:rsidP="00A2594A">
      <w:pPr>
        <w:adjustRightInd w:val="0"/>
        <w:jc w:val="both"/>
        <w:rPr>
          <w:spacing w:val="-2"/>
          <w:sz w:val="20"/>
        </w:rPr>
      </w:pPr>
      <w:r w:rsidRPr="00A2594A">
        <w:rPr>
          <w:spacing w:val="-2"/>
          <w:sz w:val="20"/>
        </w:rPr>
        <w:t xml:space="preserve">4. Proximity to historically producing gold deposits; and </w:t>
      </w:r>
    </w:p>
    <w:p w14:paraId="1A168419" w14:textId="77777777" w:rsidR="00A2594A" w:rsidRPr="00A2594A" w:rsidRDefault="00A2594A" w:rsidP="00A2594A">
      <w:pPr>
        <w:adjustRightInd w:val="0"/>
        <w:jc w:val="both"/>
        <w:rPr>
          <w:spacing w:val="-2"/>
          <w:sz w:val="20"/>
        </w:rPr>
      </w:pPr>
      <w:proofErr w:type="gramStart"/>
      <w:r w:rsidRPr="00A2594A">
        <w:rPr>
          <w:spacing w:val="-2"/>
          <w:sz w:val="20"/>
        </w:rPr>
        <w:t>5. North west</w:t>
      </w:r>
      <w:proofErr w:type="gramEnd"/>
      <w:r w:rsidRPr="00A2594A">
        <w:rPr>
          <w:spacing w:val="-2"/>
          <w:sz w:val="20"/>
        </w:rPr>
        <w:t xml:space="preserve"> trending faults.</w:t>
      </w:r>
    </w:p>
    <w:p w14:paraId="6CD6776B" w14:textId="77777777" w:rsidR="00A2594A" w:rsidRDefault="00A2594A" w:rsidP="00A2594A">
      <w:pPr>
        <w:adjustRightInd w:val="0"/>
        <w:jc w:val="both"/>
        <w:rPr>
          <w:spacing w:val="-2"/>
          <w:sz w:val="20"/>
          <w:lang w:val="en-CA"/>
        </w:rPr>
      </w:pPr>
    </w:p>
    <w:p w14:paraId="52E92FFF" w14:textId="77777777" w:rsidR="00A2594A" w:rsidRPr="00A2594A" w:rsidRDefault="00A2594A" w:rsidP="00A2594A">
      <w:pPr>
        <w:adjustRightInd w:val="0"/>
        <w:jc w:val="both"/>
        <w:rPr>
          <w:spacing w:val="-2"/>
          <w:sz w:val="20"/>
          <w:lang w:val="en-CA"/>
        </w:rPr>
      </w:pPr>
      <w:r w:rsidRPr="00A2594A">
        <w:rPr>
          <w:b/>
          <w:bCs/>
          <w:spacing w:val="-2"/>
          <w:sz w:val="20"/>
          <w:lang w:val="en-CA"/>
        </w:rPr>
        <w:t xml:space="preserve">RC Drilling Program </w:t>
      </w:r>
    </w:p>
    <w:p w14:paraId="72BB68E6" w14:textId="77777777" w:rsidR="00965C9A" w:rsidRDefault="00965C9A" w:rsidP="00A2594A">
      <w:pPr>
        <w:adjustRightInd w:val="0"/>
        <w:jc w:val="both"/>
        <w:rPr>
          <w:spacing w:val="-2"/>
          <w:sz w:val="20"/>
          <w:lang w:val="en-CA"/>
        </w:rPr>
      </w:pPr>
    </w:p>
    <w:p w14:paraId="56E32E44" w14:textId="77777777" w:rsidR="00A2594A" w:rsidRDefault="00A2594A" w:rsidP="00A2594A">
      <w:pPr>
        <w:adjustRightInd w:val="0"/>
        <w:jc w:val="both"/>
        <w:rPr>
          <w:spacing w:val="-2"/>
          <w:sz w:val="20"/>
          <w:lang w:val="en-CA"/>
        </w:rPr>
      </w:pPr>
      <w:r w:rsidRPr="00A2594A">
        <w:rPr>
          <w:spacing w:val="-2"/>
          <w:sz w:val="20"/>
          <w:lang w:val="en-CA"/>
        </w:rPr>
        <w:t xml:space="preserve">A total of 20 holes totaling 1,614 metres were completed at the Killag East target area. These drill holes were designed to test gold mineralization in the area of historic Killag mine workings and along the high magnetic anomaly that coincides with the Killag anticline in this area. Drilling revealed that the bedrock sequences are predominantly comprised of greywacke interbedded locally with significant intervals of argillite. Quartz veining in both rock types is present and sulphide minerals such as pyrite, pyrrhotite, arsenopyrite and chalcopyrite were observed in RC chip samples. Pyrrhotite is the likely source of the high magnetic anomaly at Killag East. Above detection limit gold values were encountered in all holes and are associated with the interbedded greywacke and argillite intervals that were observed to have variable amounts of quartz veining. The highest gold value returned was 17,855 ppb (17.86 g/t) over 1 m and correlates with an interval of argillite. </w:t>
      </w:r>
      <w:r>
        <w:rPr>
          <w:spacing w:val="-2"/>
          <w:sz w:val="20"/>
          <w:lang w:val="en-CA"/>
        </w:rPr>
        <w:t xml:space="preserve"> </w:t>
      </w:r>
    </w:p>
    <w:p w14:paraId="6472BE5E" w14:textId="77777777" w:rsidR="00555CF4" w:rsidRDefault="00555CF4" w:rsidP="00A2594A">
      <w:pPr>
        <w:adjustRightInd w:val="0"/>
        <w:jc w:val="both"/>
        <w:rPr>
          <w:spacing w:val="-2"/>
          <w:sz w:val="20"/>
          <w:lang w:val="en-CA"/>
        </w:rPr>
      </w:pPr>
    </w:p>
    <w:p w14:paraId="20FE09EC" w14:textId="5D717B6F" w:rsidR="00A2594A" w:rsidRDefault="00A2594A" w:rsidP="00A2594A">
      <w:pPr>
        <w:adjustRightInd w:val="0"/>
        <w:jc w:val="both"/>
        <w:rPr>
          <w:spacing w:val="-2"/>
          <w:sz w:val="20"/>
          <w:lang w:val="en-CA"/>
        </w:rPr>
      </w:pPr>
      <w:r w:rsidRPr="00A2594A">
        <w:rPr>
          <w:spacing w:val="-2"/>
          <w:sz w:val="20"/>
          <w:lang w:val="en-CA"/>
        </w:rPr>
        <w:t xml:space="preserve">A total of 9 holes totaling 633 metres were completed at the Killag Central and Killag West target areas within the Killag project area. Drilling in Killag West returned fire assay gold results mostly at or below the detection limit (1 ppb). The highest value returned was 7 ppb Au over 3 metres between 38 and 41 metres in drill hole KGRC-07-2019. Drill holes </w:t>
      </w:r>
      <w:r w:rsidR="00555CF4">
        <w:rPr>
          <w:spacing w:val="-2"/>
          <w:sz w:val="20"/>
          <w:lang w:val="en-CA"/>
        </w:rPr>
        <w:t>on</w:t>
      </w:r>
      <w:r w:rsidR="00555CF4" w:rsidRPr="00A2594A">
        <w:rPr>
          <w:spacing w:val="-2"/>
          <w:sz w:val="20"/>
          <w:lang w:val="en-CA"/>
        </w:rPr>
        <w:t xml:space="preserve"> </w:t>
      </w:r>
      <w:r w:rsidRPr="00A2594A">
        <w:rPr>
          <w:spacing w:val="-2"/>
          <w:sz w:val="20"/>
          <w:lang w:val="en-CA"/>
        </w:rPr>
        <w:t xml:space="preserve">the western part of the licence area mostly intercepted greywacke with 1 to 3 metre interbeds of argillite with associated sulphide mineralization consisting mostly of low levels of pyrite and arsenopyrite. RC drilling in the Killag Central area intersected a discrete high magnetic field anomaly that appears to be sourced in an argillite-rich interval of stratigraphy. At the southern end of the drill fence line, drill hole KGRC-17-2019 intercepted four zones of anomalous gold (&gt;10 ppb) including 50 ppb over 1 metre between 16 to 17 metres; 40 ppb over six metres between 46 and 52 metres; 30 ppb over 5 metres between 58 and 63 metres; and 20 ppb over 1 metre between 72 and 73 metres. The geochemically anomalous zones are associated with extensive quartz veining in greywacke. The highest assay value returned in the four northernmost holes is 70 ppb Au between 45 and 46 metres in </w:t>
      </w:r>
      <w:proofErr w:type="gramStart"/>
      <w:r w:rsidRPr="00A2594A">
        <w:rPr>
          <w:spacing w:val="-2"/>
          <w:sz w:val="20"/>
          <w:lang w:val="en-CA"/>
        </w:rPr>
        <w:t>hole</w:t>
      </w:r>
      <w:proofErr w:type="gramEnd"/>
      <w:r w:rsidRPr="00A2594A">
        <w:rPr>
          <w:spacing w:val="-2"/>
          <w:sz w:val="20"/>
          <w:lang w:val="en-CA"/>
        </w:rPr>
        <w:t xml:space="preserve"> KGRC-16-2019. </w:t>
      </w:r>
    </w:p>
    <w:p w14:paraId="4CCF5A2E" w14:textId="77777777" w:rsidR="00555CF4" w:rsidRPr="00A2594A" w:rsidRDefault="00555CF4" w:rsidP="00A2594A">
      <w:pPr>
        <w:adjustRightInd w:val="0"/>
        <w:jc w:val="both"/>
        <w:rPr>
          <w:spacing w:val="-2"/>
          <w:sz w:val="20"/>
          <w:lang w:val="en-CA"/>
        </w:rPr>
      </w:pPr>
    </w:p>
    <w:p w14:paraId="49C3806F" w14:textId="77777777" w:rsidR="00A2594A" w:rsidRDefault="00A2594A" w:rsidP="00A2594A">
      <w:pPr>
        <w:adjustRightInd w:val="0"/>
        <w:jc w:val="both"/>
        <w:rPr>
          <w:spacing w:val="-2"/>
          <w:sz w:val="20"/>
          <w:lang w:val="en-CA"/>
        </w:rPr>
      </w:pPr>
      <w:r w:rsidRPr="00A2594A">
        <w:rPr>
          <w:spacing w:val="-2"/>
          <w:sz w:val="20"/>
          <w:lang w:val="en-CA"/>
        </w:rPr>
        <w:t xml:space="preserve">The 2019 RC drilling at Killag referred to above intercepted high gold values in several quartz veined intervals of altered greywacke and argillite. Longer intervals of continuous, anomalous gold values in the 20 to 100 ppb range were intercepted in some of the 2019 holes and also have substantial exploration significance. These may denote presence of a gold-bearing hydrothermal alteration halo centered on the anticlinal corridor at Killag and form the basis of MegumaGold’s “alteration gold halo concept”. This concept is supported by alteration index and RC chip logging results. Where present, halo zone gold values typically fall in the range of 30 to 200 ppb and comprise continuously anomalous intervals up to 81 m in length. </w:t>
      </w:r>
    </w:p>
    <w:p w14:paraId="6C23077A" w14:textId="77777777" w:rsidR="00A2594A" w:rsidRDefault="00A2594A" w:rsidP="00A2594A">
      <w:pPr>
        <w:adjustRightInd w:val="0"/>
        <w:jc w:val="both"/>
        <w:rPr>
          <w:spacing w:val="-2"/>
          <w:sz w:val="20"/>
          <w:lang w:val="en-CA"/>
        </w:rPr>
      </w:pPr>
    </w:p>
    <w:p w14:paraId="5DBE8598" w14:textId="19518109" w:rsidR="00A2594A" w:rsidRDefault="00A2594A" w:rsidP="00A2594A">
      <w:pPr>
        <w:adjustRightInd w:val="0"/>
        <w:jc w:val="both"/>
        <w:rPr>
          <w:spacing w:val="-2"/>
          <w:sz w:val="20"/>
          <w:lang w:val="en-CA"/>
        </w:rPr>
      </w:pPr>
      <w:r w:rsidRPr="00A2594A">
        <w:rPr>
          <w:spacing w:val="-2"/>
          <w:sz w:val="20"/>
          <w:lang w:val="en-CA"/>
        </w:rPr>
        <w:t xml:space="preserve">Reverse circulation (RC) drilling programs were utilized by MegumaGold to target gold mineralization within or in close proximity to historic mining districts and to test for new gold mineralization along the high magnetic anomalies on strike with several interpreted anticlinal structures identified from 2018 aeromagnetic and radiometrics surveys. This </w:t>
      </w:r>
      <w:r w:rsidRPr="00A2594A">
        <w:rPr>
          <w:spacing w:val="-2"/>
          <w:sz w:val="20"/>
          <w:lang w:val="en-CA"/>
        </w:rPr>
        <w:lastRenderedPageBreak/>
        <w:t xml:space="preserve">drilling concept was successful at the Killag property where it revealed that significant intervals of sulphide bearing argillite occur interbedded with greywacke, both of which were locally determined to host abundant quartz veining. Sulphide minerals identified in drill chips include pyrite, pyrrhotite, arsenopyrite and chalcopyrite. Pyrrhotite associated with argillite stratigraphy is interpreted as the likely source of a high magnetic anomaly at </w:t>
      </w:r>
      <w:proofErr w:type="spellStart"/>
      <w:r w:rsidRPr="00A2594A">
        <w:rPr>
          <w:spacing w:val="-2"/>
          <w:sz w:val="20"/>
          <w:lang w:val="en-CA"/>
        </w:rPr>
        <w:t>Killag</w:t>
      </w:r>
      <w:proofErr w:type="spellEnd"/>
      <w:r w:rsidRPr="00A2594A">
        <w:rPr>
          <w:spacing w:val="-2"/>
          <w:sz w:val="20"/>
          <w:lang w:val="en-CA"/>
        </w:rPr>
        <w:t xml:space="preserve"> East that also coincides with areas of past gold mining. Notably, the east extension of the anticlinal structure present in the Killag Gold District hosts the Goldenville Gold District, approximately 50 km to the east. </w:t>
      </w:r>
    </w:p>
    <w:p w14:paraId="711806F6" w14:textId="77777777" w:rsidR="00FD0973" w:rsidRDefault="00FD0973" w:rsidP="00A2594A">
      <w:pPr>
        <w:adjustRightInd w:val="0"/>
        <w:jc w:val="both"/>
        <w:rPr>
          <w:spacing w:val="-2"/>
          <w:sz w:val="20"/>
          <w:lang w:val="en-CA"/>
        </w:rPr>
      </w:pPr>
    </w:p>
    <w:p w14:paraId="4F4B5D92" w14:textId="77777777" w:rsidR="00965C9A" w:rsidRPr="00C06682" w:rsidRDefault="00965C9A" w:rsidP="00965C9A">
      <w:pPr>
        <w:adjustRightInd w:val="0"/>
        <w:jc w:val="both"/>
        <w:rPr>
          <w:b/>
          <w:spacing w:val="-2"/>
          <w:sz w:val="20"/>
        </w:rPr>
      </w:pPr>
      <w:r w:rsidRPr="00C06682">
        <w:rPr>
          <w:b/>
          <w:spacing w:val="-2"/>
          <w:sz w:val="20"/>
        </w:rPr>
        <w:t>EXPLORATION AND DEVELOPMENT STRATEGY (CONTINUED)</w:t>
      </w:r>
    </w:p>
    <w:p w14:paraId="0EBCD5B6" w14:textId="77777777" w:rsidR="00965C9A" w:rsidRPr="00A2594A" w:rsidRDefault="00965C9A" w:rsidP="00A2594A">
      <w:pPr>
        <w:adjustRightInd w:val="0"/>
        <w:jc w:val="both"/>
        <w:rPr>
          <w:spacing w:val="-2"/>
          <w:sz w:val="20"/>
          <w:lang w:val="en-CA"/>
        </w:rPr>
      </w:pPr>
    </w:p>
    <w:p w14:paraId="41CFF70A" w14:textId="77777777" w:rsidR="00A2594A" w:rsidRDefault="00A2594A" w:rsidP="00A2594A">
      <w:pPr>
        <w:adjustRightInd w:val="0"/>
        <w:jc w:val="both"/>
        <w:rPr>
          <w:spacing w:val="-2"/>
          <w:sz w:val="20"/>
        </w:rPr>
      </w:pPr>
      <w:r w:rsidRPr="00A2594A">
        <w:rPr>
          <w:spacing w:val="-2"/>
          <w:sz w:val="20"/>
          <w:lang w:val="en-CA"/>
        </w:rPr>
        <w:t>MegumaGold’s Killag RC drilling program intercepted near surface high gold values in several variably quartz-veined intervals of altered greywacke and argillite. This drilling also defined several long intervals of anomalous gold and associated anomalous arsenic values occurring in altered greywacke and argillite rock packages. These intervals occur along the axis of the Killag-Goldenville anticline and are located to the east of historical drill core gold intercepts and underground workings. The long widths of low level, but anomalous gold in Killag RC samples indicate that mineralization extends beyond the limits of traditionally known high grade quartz veins and that it has been deposited at low levels in surrounding thick slate/argillite/greywacke packages comprising the host rock sequence. This is interpreted as forming part of a hydrothermal alteration halo centered on the Killag anticline that may be part of a larger, zoned system that may contain significant gold grades. MegumaGold refers to this as its “alteration halo concept”. Alteration gold halos surrounding deposits of importance have already been documented in the</w:t>
      </w:r>
      <w:r>
        <w:rPr>
          <w:spacing w:val="-2"/>
          <w:sz w:val="20"/>
          <w:lang w:val="en-CA"/>
        </w:rPr>
        <w:t xml:space="preserve"> </w:t>
      </w:r>
      <w:r w:rsidRPr="00A2594A">
        <w:rPr>
          <w:spacing w:val="-2"/>
          <w:sz w:val="20"/>
        </w:rPr>
        <w:t xml:space="preserve">Nova Scotia goldfields, examples of which include St. Barbara’s Touquoy, Fifteen Mile Stream, Beaver Dam and Cochrane Hill deposits, as well as Anaconda’s Goldboro deposit. </w:t>
      </w:r>
    </w:p>
    <w:p w14:paraId="62451538" w14:textId="77777777" w:rsidR="00FD0973" w:rsidRPr="00A2594A" w:rsidRDefault="00FD0973" w:rsidP="00A2594A">
      <w:pPr>
        <w:adjustRightInd w:val="0"/>
        <w:jc w:val="both"/>
        <w:rPr>
          <w:spacing w:val="-2"/>
          <w:sz w:val="20"/>
        </w:rPr>
      </w:pPr>
    </w:p>
    <w:p w14:paraId="0F4BF657" w14:textId="77777777" w:rsidR="00A2594A" w:rsidRDefault="00A2594A" w:rsidP="00A2594A">
      <w:pPr>
        <w:adjustRightInd w:val="0"/>
        <w:jc w:val="both"/>
        <w:rPr>
          <w:spacing w:val="-2"/>
          <w:sz w:val="20"/>
          <w:lang w:val="en-CA"/>
        </w:rPr>
      </w:pPr>
      <w:r w:rsidRPr="00A2594A">
        <w:rPr>
          <w:spacing w:val="-2"/>
          <w:sz w:val="20"/>
          <w:lang w:val="en-CA"/>
        </w:rPr>
        <w:t>Determining potential exploration target areas over large geographic regions through the combined interpretation of airborne and ground geophysics data (magnetics, VLF-EM, and IP) and soil and rock geochemistry data has proven successful in discovering argillite-bearing anticlinal fold structures that contain disseminated iron sulphide and local gold mineralization within the MegumaGold properties. This exploration approach also appears useful in order to target high priority sites for future RC and diamond drilling programs. As discussed above, RC drilling in the Killag project area has demonstrated that alteration gold halo zones are present that require further follow-up drilling to assess this concept along the entire Killag anticline hinge zone corridor. The IP chargeability anomalies discovered at Touquoy West constitute high quality targets for</w:t>
      </w:r>
      <w:r w:rsidR="00D77120">
        <w:rPr>
          <w:spacing w:val="-2"/>
          <w:sz w:val="20"/>
          <w:lang w:val="en-CA"/>
        </w:rPr>
        <w:t xml:space="preserve"> pending</w:t>
      </w:r>
      <w:r w:rsidRPr="00A2594A">
        <w:rPr>
          <w:spacing w:val="-2"/>
          <w:sz w:val="20"/>
          <w:lang w:val="en-CA"/>
        </w:rPr>
        <w:t xml:space="preserve"> diamond drilling programs to assess mineralization potential along this anticlinal trend and at depth. The combination of ground magnetics/VLF-EM and soil geochemistry surveys and follow-up IP surveys have also proven themselves as effective exploration tools in bedrock sequences of the Meguma Supergroup. The combined results define argillite-bearing stratigraphic intervals and anticlinal fold structures that may host significant gold mineralization associated with hydrothermally altered zones marked by disseminated sulphides and quartz veining.</w:t>
      </w:r>
    </w:p>
    <w:p w14:paraId="703617C8" w14:textId="77777777" w:rsidR="00A2594A" w:rsidRPr="002D639F" w:rsidRDefault="00A2594A" w:rsidP="00A2594A">
      <w:pPr>
        <w:adjustRightInd w:val="0"/>
        <w:jc w:val="both"/>
        <w:rPr>
          <w:spacing w:val="-2"/>
          <w:sz w:val="20"/>
        </w:rPr>
      </w:pPr>
    </w:p>
    <w:p w14:paraId="0BDF1E54" w14:textId="77777777" w:rsidR="002D639F" w:rsidRDefault="002D639F" w:rsidP="002D639F">
      <w:pPr>
        <w:widowControl/>
        <w:autoSpaceDE w:val="0"/>
        <w:autoSpaceDN w:val="0"/>
        <w:adjustRightInd w:val="0"/>
        <w:spacing w:after="120"/>
        <w:rPr>
          <w:rFonts w:eastAsia="Calibri"/>
          <w:b/>
          <w:bCs/>
          <w:color w:val="000000"/>
          <w:sz w:val="20"/>
          <w:lang w:val="en-CA" w:eastAsia="en-CA"/>
        </w:rPr>
      </w:pPr>
      <w:r>
        <w:rPr>
          <w:rFonts w:eastAsia="Calibri"/>
          <w:b/>
          <w:bCs/>
          <w:color w:val="000000"/>
          <w:sz w:val="20"/>
          <w:lang w:val="en-CA" w:eastAsia="en-CA"/>
        </w:rPr>
        <w:t>KILLAG</w:t>
      </w:r>
    </w:p>
    <w:p w14:paraId="1F6DAD64" w14:textId="6599308E" w:rsidR="002D639F" w:rsidRPr="000D3834" w:rsidRDefault="002D639F" w:rsidP="002D639F">
      <w:pPr>
        <w:adjustRightInd w:val="0"/>
        <w:jc w:val="both"/>
        <w:rPr>
          <w:spacing w:val="-2"/>
          <w:sz w:val="20"/>
        </w:rPr>
      </w:pPr>
      <w:r w:rsidRPr="000D3834">
        <w:rPr>
          <w:spacing w:val="-2"/>
          <w:sz w:val="20"/>
        </w:rPr>
        <w:t xml:space="preserve">The Killag Gold District is a historic Nova Scotia gold district held by MegumaGold and lies in the eastern part of Halifax County, approximately 13 km north of Sheet Harbour and 20 km east of Atlantic Gold’s Touquoy Gold Mine (Figure 1). Nova Scotia government records show that this district produced more than 3,500 ounces of gold between 1869 and 1946 at an average gold grade of 0.96 oz/ton. The geology in the area of historic mining is well known from earlier mapping, underground development and diamond drilling records. Much like the Touquoy Gold Mine area at Moose River, historic gold mining at Killag was primarily focused on quartz veins. At Killag these generally occur on the steeply south-dipping limb of the Killag-Goldenville anticline but some mining was carried out on the north limb of this fold as well. Records show that several separate veins were tested in the main area of underground workings. Of these, the Flat Lead, which is associated with a 1.21 m thick argillite belt and reportedly reaches 0.25 m in thickness, occurs on the north fold limb. The Stuart Lead is most prominent among historically worked veins and occurs on the near-vertical south limb of the anticline. It also is reported to reach 0.25 m in thickness.   Quartz veining at Killag typically occurs in association with argillite rock packages of various thicknesses that are interbedded with thick greywacke units. Argillite intervals that did not host quartz veins were not typically sampled by pre-1980’s era exploration and mining projects. </w:t>
      </w:r>
    </w:p>
    <w:p w14:paraId="4DA193F8" w14:textId="77777777" w:rsidR="006C4BB1" w:rsidRDefault="006C4BB1" w:rsidP="002D639F">
      <w:pPr>
        <w:widowControl/>
        <w:autoSpaceDE w:val="0"/>
        <w:autoSpaceDN w:val="0"/>
        <w:adjustRightInd w:val="0"/>
        <w:spacing w:before="120" w:after="120"/>
        <w:rPr>
          <w:rFonts w:eastAsia="Calibri"/>
          <w:b/>
          <w:color w:val="000000"/>
          <w:sz w:val="20"/>
          <w:lang w:val="en-CA" w:eastAsia="en-CA"/>
        </w:rPr>
      </w:pPr>
    </w:p>
    <w:p w14:paraId="4AB6653D" w14:textId="77777777" w:rsidR="00C06682" w:rsidRDefault="00C06682" w:rsidP="002D639F">
      <w:pPr>
        <w:widowControl/>
        <w:autoSpaceDE w:val="0"/>
        <w:autoSpaceDN w:val="0"/>
        <w:adjustRightInd w:val="0"/>
        <w:spacing w:before="120" w:after="120"/>
        <w:rPr>
          <w:rFonts w:eastAsia="Calibri"/>
          <w:b/>
          <w:color w:val="000000"/>
          <w:sz w:val="20"/>
          <w:lang w:val="en-CA" w:eastAsia="en-CA"/>
        </w:rPr>
      </w:pPr>
    </w:p>
    <w:p w14:paraId="49E7D4C6" w14:textId="77777777" w:rsidR="00C06682" w:rsidRPr="00C06682" w:rsidRDefault="00C06682" w:rsidP="00C06682">
      <w:pPr>
        <w:widowControl/>
        <w:autoSpaceDE w:val="0"/>
        <w:autoSpaceDN w:val="0"/>
        <w:adjustRightInd w:val="0"/>
        <w:spacing w:before="120" w:after="120"/>
        <w:rPr>
          <w:rFonts w:eastAsia="Calibri"/>
          <w:b/>
          <w:color w:val="000000"/>
          <w:sz w:val="20"/>
          <w:lang w:eastAsia="en-CA"/>
        </w:rPr>
      </w:pPr>
      <w:r w:rsidRPr="00C06682">
        <w:rPr>
          <w:rFonts w:eastAsia="Calibri"/>
          <w:b/>
          <w:color w:val="000000"/>
          <w:sz w:val="20"/>
          <w:lang w:eastAsia="en-CA"/>
        </w:rPr>
        <w:lastRenderedPageBreak/>
        <w:t>EXPLORATION AND DEVELOPMENT STRATEGY (CONTINUED)</w:t>
      </w:r>
    </w:p>
    <w:p w14:paraId="5DDA9B60" w14:textId="77777777" w:rsidR="00C06682" w:rsidRDefault="00C06682" w:rsidP="002D639F">
      <w:pPr>
        <w:widowControl/>
        <w:autoSpaceDE w:val="0"/>
        <w:autoSpaceDN w:val="0"/>
        <w:adjustRightInd w:val="0"/>
        <w:spacing w:before="120" w:after="120"/>
        <w:rPr>
          <w:rFonts w:eastAsia="Calibri"/>
          <w:b/>
          <w:color w:val="000000"/>
          <w:sz w:val="20"/>
          <w:lang w:val="en-CA" w:eastAsia="en-CA"/>
        </w:rPr>
      </w:pPr>
      <w:r>
        <w:rPr>
          <w:rFonts w:eastAsia="Calibri"/>
          <w:b/>
          <w:color w:val="000000"/>
          <w:sz w:val="20"/>
          <w:lang w:val="en-CA" w:eastAsia="en-CA"/>
        </w:rPr>
        <w:t>KILLAG (CONTINUED)</w:t>
      </w:r>
    </w:p>
    <w:p w14:paraId="3BBF5DDB" w14:textId="2306237F" w:rsidR="002D639F" w:rsidRPr="0040297B" w:rsidRDefault="002D639F" w:rsidP="002D639F">
      <w:pPr>
        <w:widowControl/>
        <w:autoSpaceDE w:val="0"/>
        <w:autoSpaceDN w:val="0"/>
        <w:adjustRightInd w:val="0"/>
        <w:spacing w:before="120" w:after="120"/>
        <w:rPr>
          <w:rFonts w:eastAsia="Calibri"/>
          <w:b/>
          <w:color w:val="000000"/>
          <w:sz w:val="20"/>
          <w:lang w:val="en-CA" w:eastAsia="en-CA"/>
        </w:rPr>
      </w:pPr>
      <w:r w:rsidRPr="0040297B">
        <w:rPr>
          <w:rFonts w:eastAsia="Calibri"/>
          <w:b/>
          <w:color w:val="000000"/>
          <w:sz w:val="20"/>
          <w:lang w:val="en-CA" w:eastAsia="en-CA"/>
        </w:rPr>
        <w:t>Figure 1: Map of MegumaGold holdings in the Killag area.</w:t>
      </w:r>
      <w:r w:rsidRPr="002D639F">
        <w:rPr>
          <w:rFonts w:eastAsia="Calibri"/>
          <w:b/>
          <w:noProof/>
          <w:color w:val="000000"/>
          <w:sz w:val="20"/>
        </w:rPr>
        <w:t xml:space="preserve"> </w:t>
      </w:r>
      <w:r w:rsidR="00936F3C">
        <w:rPr>
          <w:rFonts w:eastAsia="Calibri"/>
          <w:b/>
          <w:noProof/>
          <w:color w:val="000000"/>
          <w:sz w:val="20"/>
        </w:rPr>
        <w:drawing>
          <wp:inline distT="0" distB="0" distL="0" distR="0" wp14:anchorId="58859239" wp14:editId="696000A8">
            <wp:extent cx="4101465" cy="309816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1465" cy="3098165"/>
                    </a:xfrm>
                    <a:prstGeom prst="rect">
                      <a:avLst/>
                    </a:prstGeom>
                    <a:noFill/>
                    <a:ln>
                      <a:noFill/>
                    </a:ln>
                  </pic:spPr>
                </pic:pic>
              </a:graphicData>
            </a:graphic>
          </wp:inline>
        </w:drawing>
      </w:r>
    </w:p>
    <w:p w14:paraId="37807419" w14:textId="77777777" w:rsidR="002D639F" w:rsidRPr="00F03CD5" w:rsidRDefault="002D639F" w:rsidP="002D639F">
      <w:pPr>
        <w:widowControl/>
        <w:autoSpaceDE w:val="0"/>
        <w:autoSpaceDN w:val="0"/>
        <w:adjustRightInd w:val="0"/>
        <w:spacing w:after="120"/>
        <w:jc w:val="both"/>
        <w:rPr>
          <w:rFonts w:eastAsia="Calibri"/>
          <w:color w:val="000000"/>
          <w:sz w:val="20"/>
          <w:lang w:val="en-CA" w:eastAsia="en-CA"/>
        </w:rPr>
      </w:pPr>
      <w:r w:rsidRPr="00F03CD5">
        <w:rPr>
          <w:rFonts w:eastAsia="Calibri"/>
          <w:color w:val="000000"/>
          <w:sz w:val="20"/>
          <w:lang w:val="en-CA" w:eastAsia="en-CA"/>
        </w:rPr>
        <w:t>Interpretation of data compilation and 3D modelling programs carried out by MegumaGold in 2019 showed that historically defined higher grade gold mineralization at Killag occurs in association with quartz veined argillite packages that are folded across the Killag-Goldenville anticlinal hinge zone corridor. This corridor constitutes MegumaGold’s “Axis Zone” exploration target. The Axis Zone target is defined as an area of argillite thickening and increased gold-bearing vein frequency that occurs in the hinge zone of the fold. The zone also shows enhanced levels of hydrothermal alteration of the folded bedrock sequences.  Similar styles of gold mineralization and alteration occur elsewhere in the Nova Scotia Goldfields, a prominent example being the Goldboro Deposit held by Anaconda Mining Corp. and the 149 Zone Deposit held by St Barbara Ltd. Frequency of quartz veining and the thickness of hosting argillite is typically greatest In the Axis Zone target area at Killag.  (Figure 2)</w:t>
      </w:r>
    </w:p>
    <w:p w14:paraId="55F2BF3E" w14:textId="77777777" w:rsidR="002D639F" w:rsidRPr="00F03CD5" w:rsidRDefault="002D639F" w:rsidP="002D639F">
      <w:pPr>
        <w:widowControl/>
        <w:autoSpaceDE w:val="0"/>
        <w:autoSpaceDN w:val="0"/>
        <w:adjustRightInd w:val="0"/>
        <w:spacing w:after="120"/>
        <w:jc w:val="both"/>
        <w:rPr>
          <w:rFonts w:eastAsia="Calibri"/>
          <w:color w:val="000000"/>
          <w:sz w:val="20"/>
          <w:lang w:val="en-CA" w:eastAsia="en-CA"/>
        </w:rPr>
      </w:pPr>
      <w:r w:rsidRPr="00F03CD5">
        <w:rPr>
          <w:rFonts w:eastAsia="Calibri"/>
          <w:color w:val="000000"/>
          <w:sz w:val="20"/>
          <w:lang w:val="en-CA" w:eastAsia="en-CA"/>
        </w:rPr>
        <w:t>2019 Reverse Circulation Drilling Program by MegumaGold</w:t>
      </w:r>
    </w:p>
    <w:p w14:paraId="5C9F9765" w14:textId="77777777" w:rsidR="002D639F" w:rsidRPr="00F03CD5" w:rsidRDefault="002D639F" w:rsidP="002D639F">
      <w:pPr>
        <w:widowControl/>
        <w:autoSpaceDE w:val="0"/>
        <w:autoSpaceDN w:val="0"/>
        <w:adjustRightInd w:val="0"/>
        <w:spacing w:after="120"/>
        <w:jc w:val="both"/>
        <w:rPr>
          <w:rFonts w:eastAsia="Calibri"/>
          <w:color w:val="000000"/>
          <w:sz w:val="20"/>
          <w:lang w:val="en-CA" w:eastAsia="en-CA"/>
        </w:rPr>
      </w:pPr>
      <w:r w:rsidRPr="00F03CD5">
        <w:rPr>
          <w:rFonts w:eastAsia="Calibri"/>
          <w:color w:val="000000"/>
          <w:sz w:val="20"/>
          <w:lang w:val="en-CA" w:eastAsia="en-CA"/>
        </w:rPr>
        <w:t xml:space="preserve">An initial Reverse Circulation (RC) drilling program by MegumaGold consisting of 28 holes (2,247 meters) was carried out at Killag in 2019 and identified gold mineralization associated with quartz veins and </w:t>
      </w:r>
      <w:proofErr w:type="spellStart"/>
      <w:r w:rsidRPr="00F03CD5">
        <w:rPr>
          <w:rFonts w:eastAsia="Calibri"/>
          <w:color w:val="000000"/>
          <w:sz w:val="20"/>
          <w:lang w:val="en-CA" w:eastAsia="en-CA"/>
        </w:rPr>
        <w:t>wallrock</w:t>
      </w:r>
      <w:proofErr w:type="spellEnd"/>
      <w:r w:rsidRPr="00F03CD5">
        <w:rPr>
          <w:rFonts w:eastAsia="Calibri"/>
          <w:color w:val="000000"/>
          <w:sz w:val="20"/>
          <w:lang w:val="en-CA" w:eastAsia="en-CA"/>
        </w:rPr>
        <w:t xml:space="preserve"> within a hydrothermally altered argillite and greywacke package along the hinge zone structural corridor of the Killag Anticline (Figure 2). While historic mining in the Killag Gold District between 1869 and 1946 had focused on discrete quartz veins, the recent RC drilling identified a broad envelope of pervasive</w:t>
      </w:r>
      <w:r>
        <w:rPr>
          <w:rFonts w:eastAsia="Calibri"/>
          <w:color w:val="000000"/>
          <w:sz w:val="20"/>
          <w:lang w:val="en-CA" w:eastAsia="en-CA"/>
        </w:rPr>
        <w:t>,</w:t>
      </w:r>
      <w:r w:rsidRPr="00F03CD5">
        <w:rPr>
          <w:rFonts w:eastAsia="Calibri"/>
          <w:color w:val="000000"/>
          <w:sz w:val="20"/>
          <w:lang w:val="en-CA" w:eastAsia="en-CA"/>
        </w:rPr>
        <w:t xml:space="preserve"> gold anomalism associated with altered bedrock sequence that hosts the quartz veins in the Axis Zone target area. This target area is currently of greatest interest to MegumaGold and is defined as an area of argillite thickening and increased vein density that occurs in the hinge zone structural corridor of the Killag Anticline.  </w:t>
      </w:r>
    </w:p>
    <w:p w14:paraId="717FF0C7" w14:textId="77777777" w:rsidR="00E16F4B" w:rsidRPr="007B0E47" w:rsidRDefault="00E16F4B" w:rsidP="00E16F4B">
      <w:pPr>
        <w:widowControl/>
        <w:autoSpaceDE w:val="0"/>
        <w:autoSpaceDN w:val="0"/>
        <w:adjustRightInd w:val="0"/>
        <w:spacing w:after="120"/>
        <w:rPr>
          <w:rFonts w:eastAsia="Calibri"/>
          <w:b/>
          <w:bCs/>
          <w:color w:val="000000"/>
          <w:sz w:val="20"/>
          <w:lang w:eastAsia="en-CA"/>
        </w:rPr>
      </w:pPr>
      <w:r>
        <w:rPr>
          <w:rFonts w:eastAsia="Calibri"/>
          <w:b/>
          <w:color w:val="000000"/>
          <w:sz w:val="20"/>
          <w:lang w:val="en-CA" w:eastAsia="en-CA"/>
        </w:rPr>
        <w:br w:type="page"/>
      </w:r>
      <w:r w:rsidRPr="007B0E47">
        <w:rPr>
          <w:rFonts w:eastAsia="Calibri"/>
          <w:b/>
          <w:bCs/>
          <w:color w:val="000000"/>
          <w:sz w:val="20"/>
          <w:lang w:eastAsia="en-CA"/>
        </w:rPr>
        <w:lastRenderedPageBreak/>
        <w:t>EXPLORATION AND DEVELOPMENT STRATEGY (CONTINUED)</w:t>
      </w:r>
    </w:p>
    <w:p w14:paraId="5445027F" w14:textId="77777777" w:rsidR="00E16F4B" w:rsidRDefault="00E16F4B" w:rsidP="00E16F4B">
      <w:pPr>
        <w:widowControl/>
        <w:autoSpaceDE w:val="0"/>
        <w:autoSpaceDN w:val="0"/>
        <w:adjustRightInd w:val="0"/>
        <w:spacing w:after="120"/>
        <w:rPr>
          <w:rFonts w:eastAsia="Calibri"/>
          <w:b/>
          <w:bCs/>
          <w:color w:val="000000"/>
          <w:sz w:val="20"/>
          <w:lang w:val="en-CA" w:eastAsia="en-CA"/>
        </w:rPr>
      </w:pPr>
      <w:r>
        <w:rPr>
          <w:rFonts w:eastAsia="Calibri"/>
          <w:b/>
          <w:bCs/>
          <w:color w:val="000000"/>
          <w:sz w:val="20"/>
          <w:lang w:val="en-CA" w:eastAsia="en-CA"/>
        </w:rPr>
        <w:t>KILLAG (CONTINUED)</w:t>
      </w:r>
    </w:p>
    <w:p w14:paraId="767D93E1" w14:textId="77777777" w:rsidR="002D639F" w:rsidRPr="0040297B" w:rsidRDefault="002D639F" w:rsidP="002D639F">
      <w:pPr>
        <w:widowControl/>
        <w:autoSpaceDE w:val="0"/>
        <w:autoSpaceDN w:val="0"/>
        <w:adjustRightInd w:val="0"/>
        <w:spacing w:after="120"/>
        <w:rPr>
          <w:rFonts w:eastAsia="Calibri"/>
          <w:b/>
          <w:color w:val="000000"/>
          <w:sz w:val="20"/>
          <w:lang w:val="en-CA" w:eastAsia="en-CA"/>
        </w:rPr>
      </w:pPr>
      <w:r w:rsidRPr="0040297B">
        <w:rPr>
          <w:rFonts w:eastAsia="Calibri"/>
          <w:b/>
          <w:color w:val="000000"/>
          <w:sz w:val="20"/>
          <w:lang w:val="en-CA" w:eastAsia="en-CA"/>
        </w:rPr>
        <w:t xml:space="preserve">Figure 2: Drilling plan at Killag East.  </w:t>
      </w:r>
    </w:p>
    <w:p w14:paraId="4A9F2576" w14:textId="7A5F4EB6" w:rsidR="002D639F" w:rsidRPr="00F03CD5" w:rsidRDefault="00936F3C" w:rsidP="002D639F">
      <w:pPr>
        <w:widowControl/>
        <w:autoSpaceDE w:val="0"/>
        <w:autoSpaceDN w:val="0"/>
        <w:adjustRightInd w:val="0"/>
        <w:spacing w:after="120"/>
        <w:rPr>
          <w:rFonts w:eastAsia="Calibri"/>
          <w:b/>
          <w:bCs/>
          <w:color w:val="000000"/>
          <w:sz w:val="20"/>
          <w:lang w:val="en-CA" w:eastAsia="en-CA"/>
        </w:rPr>
      </w:pPr>
      <w:r>
        <w:rPr>
          <w:rFonts w:eastAsia="Calibri"/>
          <w:b/>
          <w:noProof/>
          <w:color w:val="000000"/>
          <w:sz w:val="20"/>
        </w:rPr>
        <w:drawing>
          <wp:inline distT="0" distB="0" distL="0" distR="0" wp14:anchorId="17477BBC" wp14:editId="716993FD">
            <wp:extent cx="4455795" cy="337121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2917" t="3986" r="2745" b="3683"/>
                    <a:stretch>
                      <a:fillRect/>
                    </a:stretch>
                  </pic:blipFill>
                  <pic:spPr bwMode="auto">
                    <a:xfrm>
                      <a:off x="0" y="0"/>
                      <a:ext cx="4455795" cy="3371215"/>
                    </a:xfrm>
                    <a:prstGeom prst="rect">
                      <a:avLst/>
                    </a:prstGeom>
                    <a:noFill/>
                    <a:ln>
                      <a:noFill/>
                    </a:ln>
                  </pic:spPr>
                </pic:pic>
              </a:graphicData>
            </a:graphic>
          </wp:inline>
        </w:drawing>
      </w:r>
    </w:p>
    <w:p w14:paraId="566CEA1F" w14:textId="77777777" w:rsidR="002D639F" w:rsidRDefault="002D639F" w:rsidP="002D639F">
      <w:pPr>
        <w:widowControl/>
        <w:autoSpaceDE w:val="0"/>
        <w:autoSpaceDN w:val="0"/>
        <w:adjustRightInd w:val="0"/>
        <w:spacing w:after="120"/>
        <w:jc w:val="both"/>
        <w:rPr>
          <w:rFonts w:eastAsia="Calibri"/>
          <w:color w:val="000000"/>
          <w:sz w:val="20"/>
          <w:lang w:val="en-CA" w:eastAsia="en-CA"/>
        </w:rPr>
      </w:pPr>
      <w:r w:rsidRPr="00F03CD5">
        <w:rPr>
          <w:rFonts w:eastAsia="Calibri"/>
          <w:color w:val="000000"/>
          <w:sz w:val="20"/>
          <w:lang w:val="en-CA" w:eastAsia="en-CA"/>
        </w:rPr>
        <w:t xml:space="preserve">Results of the 2019 RC drilling program defined highly anomalous gold values over significant widths in several holes that intercepted bedrock sequences of interbedded quartz-veined greywacke and argillite (Table 1). A good example of this is a gold intercept grading 4.94 g/t over a continuously sampled length of 4 m, beginning at a downhole depth of 67 m in </w:t>
      </w:r>
      <w:proofErr w:type="gramStart"/>
      <w:r w:rsidRPr="00F03CD5">
        <w:rPr>
          <w:rFonts w:eastAsia="Calibri"/>
          <w:color w:val="000000"/>
          <w:sz w:val="20"/>
          <w:lang w:val="en-CA" w:eastAsia="en-CA"/>
        </w:rPr>
        <w:t>hole</w:t>
      </w:r>
      <w:proofErr w:type="gramEnd"/>
      <w:r w:rsidRPr="00F03CD5">
        <w:rPr>
          <w:rFonts w:eastAsia="Calibri"/>
          <w:color w:val="000000"/>
          <w:sz w:val="20"/>
          <w:lang w:val="en-CA" w:eastAsia="en-CA"/>
        </w:rPr>
        <w:t xml:space="preserve"> KGRC2019-32.  The 2019 RC holes intercepted stratigraphy tested in part by earlier exploration as well as stratigraphy that </w:t>
      </w:r>
      <w:proofErr w:type="gramStart"/>
      <w:r w:rsidRPr="00F03CD5">
        <w:rPr>
          <w:rFonts w:eastAsia="Calibri"/>
          <w:color w:val="000000"/>
          <w:sz w:val="20"/>
          <w:lang w:val="en-CA" w:eastAsia="en-CA"/>
        </w:rPr>
        <w:t>was</w:t>
      </w:r>
      <w:proofErr w:type="gramEnd"/>
      <w:r w:rsidRPr="00F03CD5">
        <w:rPr>
          <w:rFonts w:eastAsia="Calibri"/>
          <w:color w:val="000000"/>
          <w:sz w:val="20"/>
          <w:lang w:val="en-CA" w:eastAsia="en-CA"/>
        </w:rPr>
        <w:t xml:space="preserve"> not directly tested by earlier work. </w:t>
      </w:r>
    </w:p>
    <w:p w14:paraId="2B5E8154" w14:textId="77777777" w:rsidR="002D639F" w:rsidRDefault="002D639F" w:rsidP="006B13BF">
      <w:pPr>
        <w:widowControl/>
        <w:jc w:val="both"/>
        <w:rPr>
          <w:rFonts w:eastAsia="Calibri"/>
          <w:color w:val="000000"/>
          <w:sz w:val="20"/>
          <w:lang w:val="en-CA" w:eastAsia="en-CA"/>
        </w:rPr>
      </w:pPr>
      <w:r w:rsidRPr="00F03CD5">
        <w:rPr>
          <w:rFonts w:eastAsia="Calibri"/>
          <w:color w:val="000000"/>
          <w:sz w:val="20"/>
          <w:lang w:val="en-CA" w:eastAsia="en-CA"/>
        </w:rPr>
        <w:t>The 2019 RC program results in Table 1 define a corridor of gold anomalism that coincides with the hinge zone structural corridor (“Axis Zone”</w:t>
      </w:r>
      <w:r w:rsidR="00FD0973">
        <w:rPr>
          <w:rFonts w:eastAsia="Calibri"/>
          <w:color w:val="000000"/>
          <w:sz w:val="20"/>
          <w:lang w:val="en-CA" w:eastAsia="en-CA"/>
        </w:rPr>
        <w:t>)</w:t>
      </w:r>
      <w:r w:rsidRPr="00F03CD5">
        <w:rPr>
          <w:rFonts w:eastAsia="Calibri"/>
          <w:color w:val="000000"/>
          <w:sz w:val="20"/>
          <w:lang w:val="en-CA" w:eastAsia="en-CA"/>
        </w:rPr>
        <w:t xml:space="preserve"> target of the Killag-Goldenville anticline and measures at least 1 km in length. The anomalous trend is open to both east and west beyond the limits of the 2019 RC program and results of historic mining and core drilling within the area provide definition of the corridor’s generally gold-bearing character. Most RC holes include intervals of quartz-vein associated gold hosted by non-gold-bearing greywacke or argillite </w:t>
      </w:r>
      <w:proofErr w:type="spellStart"/>
      <w:r w:rsidRPr="00F03CD5">
        <w:rPr>
          <w:rFonts w:eastAsia="Calibri"/>
          <w:color w:val="000000"/>
          <w:sz w:val="20"/>
          <w:lang w:val="en-CA" w:eastAsia="en-CA"/>
        </w:rPr>
        <w:t>wallrock</w:t>
      </w:r>
      <w:proofErr w:type="spellEnd"/>
      <w:r w:rsidRPr="00F03CD5">
        <w:rPr>
          <w:rFonts w:eastAsia="Calibri"/>
          <w:color w:val="000000"/>
          <w:sz w:val="20"/>
          <w:lang w:val="en-CA" w:eastAsia="en-CA"/>
        </w:rPr>
        <w:t xml:space="preserve">. However, several holes intercepted broad and coherent zones of low-level gold within hydrothermally altered greywacke and argillite within the interpreted anticlinal hinge zone structural corridor. The best example of this is found in Hole KRGC-36, which returned a weighted average gold grade of 0.12 g/t over a continuously sampled downhole length of 81 m, based on a nominal 20 parts per billion lower cut-off gold value. This and other weighted average intervals based on the same cut-off value appear in Table 2 and are represented in Figure 3 as the &gt;20 ppb gold anomaly grey-shaded zone that is predominantly developed around holes KGRC-35 and KGRC-36. True thickness values for these intercepts are unknown at present. </w:t>
      </w:r>
    </w:p>
    <w:p w14:paraId="639433BA" w14:textId="77777777" w:rsidR="00E16F4B" w:rsidRPr="007B0E47" w:rsidRDefault="00E16F4B" w:rsidP="00E16F4B">
      <w:pPr>
        <w:widowControl/>
        <w:autoSpaceDE w:val="0"/>
        <w:autoSpaceDN w:val="0"/>
        <w:adjustRightInd w:val="0"/>
        <w:spacing w:after="120"/>
        <w:rPr>
          <w:rFonts w:eastAsia="Calibri"/>
          <w:b/>
          <w:bCs/>
          <w:color w:val="000000"/>
          <w:sz w:val="20"/>
          <w:lang w:eastAsia="en-CA"/>
        </w:rPr>
      </w:pPr>
      <w:r>
        <w:rPr>
          <w:rFonts w:eastAsia="Calibri"/>
          <w:b/>
          <w:color w:val="000000"/>
          <w:sz w:val="20"/>
          <w:lang w:val="en-CA" w:eastAsia="en-CA"/>
        </w:rPr>
        <w:br w:type="page"/>
      </w:r>
      <w:r w:rsidRPr="007B0E47">
        <w:rPr>
          <w:rFonts w:eastAsia="Calibri"/>
          <w:b/>
          <w:bCs/>
          <w:color w:val="000000"/>
          <w:sz w:val="20"/>
          <w:lang w:eastAsia="en-CA"/>
        </w:rPr>
        <w:lastRenderedPageBreak/>
        <w:t>EXPLORATION AND DEVELOPMENT STRATEGY (CONTINUED)</w:t>
      </w:r>
    </w:p>
    <w:p w14:paraId="479159F6" w14:textId="77777777" w:rsidR="00E16F4B" w:rsidRDefault="00E16F4B" w:rsidP="00E16F4B">
      <w:pPr>
        <w:widowControl/>
        <w:autoSpaceDE w:val="0"/>
        <w:autoSpaceDN w:val="0"/>
        <w:adjustRightInd w:val="0"/>
        <w:spacing w:after="120"/>
        <w:rPr>
          <w:rFonts w:eastAsia="Calibri"/>
          <w:b/>
          <w:bCs/>
          <w:color w:val="000000"/>
          <w:sz w:val="20"/>
          <w:lang w:val="en-CA" w:eastAsia="en-CA"/>
        </w:rPr>
      </w:pPr>
      <w:r>
        <w:rPr>
          <w:rFonts w:eastAsia="Calibri"/>
          <w:b/>
          <w:bCs/>
          <w:color w:val="000000"/>
          <w:sz w:val="20"/>
          <w:lang w:val="en-CA" w:eastAsia="en-CA"/>
        </w:rPr>
        <w:t>KILLAG (CONTINUED)</w:t>
      </w:r>
    </w:p>
    <w:p w14:paraId="2E3501B8" w14:textId="77777777" w:rsidR="002D639F" w:rsidRPr="0040297B" w:rsidRDefault="002D639F" w:rsidP="002D639F">
      <w:pPr>
        <w:widowControl/>
        <w:autoSpaceDE w:val="0"/>
        <w:autoSpaceDN w:val="0"/>
        <w:adjustRightInd w:val="0"/>
        <w:spacing w:after="120"/>
        <w:rPr>
          <w:rFonts w:eastAsia="Calibri"/>
          <w:b/>
          <w:color w:val="000000"/>
          <w:sz w:val="20"/>
          <w:lang w:val="en-CA" w:eastAsia="en-CA"/>
        </w:rPr>
      </w:pPr>
      <w:r w:rsidRPr="0040297B">
        <w:rPr>
          <w:rFonts w:eastAsia="Calibri"/>
          <w:b/>
          <w:color w:val="000000"/>
          <w:sz w:val="20"/>
          <w:lang w:val="en-CA" w:eastAsia="en-CA"/>
        </w:rPr>
        <w:t>Table 1: 2019 RC Drilling Program - Highlights for Killag Property</w:t>
      </w:r>
    </w:p>
    <w:tbl>
      <w:tblPr>
        <w:tblW w:w="4121" w:type="dxa"/>
        <w:tblLook w:val="04A0" w:firstRow="1" w:lastRow="0" w:firstColumn="1" w:lastColumn="0" w:noHBand="0" w:noVBand="1"/>
      </w:tblPr>
      <w:tblGrid>
        <w:gridCol w:w="1276"/>
        <w:gridCol w:w="2845"/>
      </w:tblGrid>
      <w:tr w:rsidR="002D639F" w:rsidRPr="00F03CD5" w14:paraId="6CB3043F" w14:textId="77777777" w:rsidTr="00E16F4B">
        <w:trPr>
          <w:trHeight w:val="216"/>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FB10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Drillhole</w:t>
            </w:r>
          </w:p>
        </w:tc>
        <w:tc>
          <w:tcPr>
            <w:tcW w:w="2845" w:type="dxa"/>
            <w:tcBorders>
              <w:top w:val="single" w:sz="4" w:space="0" w:color="auto"/>
              <w:left w:val="nil"/>
              <w:bottom w:val="single" w:sz="4" w:space="0" w:color="auto"/>
              <w:right w:val="single" w:sz="4" w:space="0" w:color="auto"/>
            </w:tcBorders>
            <w:shd w:val="clear" w:color="auto" w:fill="auto"/>
            <w:noWrap/>
            <w:vAlign w:val="bottom"/>
            <w:hideMark/>
          </w:tcPr>
          <w:p w14:paraId="1D875ACC"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Interval</w:t>
            </w:r>
          </w:p>
        </w:tc>
      </w:tr>
      <w:tr w:rsidR="002D639F" w:rsidRPr="00F03CD5" w14:paraId="0D1F13AC"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AB6D14F"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KGRC-32</w:t>
            </w:r>
          </w:p>
        </w:tc>
        <w:tc>
          <w:tcPr>
            <w:tcW w:w="2845" w:type="dxa"/>
            <w:tcBorders>
              <w:top w:val="nil"/>
              <w:left w:val="nil"/>
              <w:bottom w:val="single" w:sz="4" w:space="0" w:color="auto"/>
              <w:right w:val="single" w:sz="4" w:space="0" w:color="auto"/>
            </w:tcBorders>
            <w:shd w:val="clear" w:color="auto" w:fill="auto"/>
            <w:noWrap/>
            <w:vAlign w:val="bottom"/>
            <w:hideMark/>
          </w:tcPr>
          <w:p w14:paraId="4288973F"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 xml:space="preserve"> 4 m at 4.94 g/t from 67m</w:t>
            </w:r>
          </w:p>
        </w:tc>
      </w:tr>
      <w:tr w:rsidR="002D639F" w:rsidRPr="00F03CD5" w14:paraId="22B8C75E"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C42616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KGRC-35</w:t>
            </w:r>
          </w:p>
        </w:tc>
        <w:tc>
          <w:tcPr>
            <w:tcW w:w="2845" w:type="dxa"/>
            <w:tcBorders>
              <w:top w:val="nil"/>
              <w:left w:val="nil"/>
              <w:bottom w:val="single" w:sz="4" w:space="0" w:color="auto"/>
              <w:right w:val="single" w:sz="4" w:space="0" w:color="auto"/>
            </w:tcBorders>
            <w:shd w:val="clear" w:color="auto" w:fill="auto"/>
            <w:noWrap/>
            <w:vAlign w:val="bottom"/>
            <w:hideMark/>
          </w:tcPr>
          <w:p w14:paraId="199FCE44"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2 m at 2.74 g/t from 70</w:t>
            </w:r>
          </w:p>
        </w:tc>
      </w:tr>
      <w:tr w:rsidR="002D639F" w:rsidRPr="00F03CD5" w14:paraId="359DF230"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5C531A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KGRC-31</w:t>
            </w:r>
          </w:p>
        </w:tc>
        <w:tc>
          <w:tcPr>
            <w:tcW w:w="2845" w:type="dxa"/>
            <w:tcBorders>
              <w:top w:val="nil"/>
              <w:left w:val="nil"/>
              <w:bottom w:val="single" w:sz="4" w:space="0" w:color="auto"/>
              <w:right w:val="single" w:sz="4" w:space="0" w:color="auto"/>
            </w:tcBorders>
            <w:shd w:val="clear" w:color="auto" w:fill="auto"/>
            <w:noWrap/>
            <w:vAlign w:val="bottom"/>
            <w:hideMark/>
          </w:tcPr>
          <w:p w14:paraId="190D7DC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4 m at 1.27g/t from 47 m</w:t>
            </w:r>
          </w:p>
        </w:tc>
      </w:tr>
      <w:tr w:rsidR="002D639F" w:rsidRPr="00F03CD5" w14:paraId="274CB1ED"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60E133"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KGRC-35</w:t>
            </w:r>
          </w:p>
        </w:tc>
        <w:tc>
          <w:tcPr>
            <w:tcW w:w="2845" w:type="dxa"/>
            <w:tcBorders>
              <w:top w:val="nil"/>
              <w:left w:val="nil"/>
              <w:bottom w:val="single" w:sz="4" w:space="0" w:color="auto"/>
              <w:right w:val="single" w:sz="4" w:space="0" w:color="auto"/>
            </w:tcBorders>
            <w:shd w:val="clear" w:color="auto" w:fill="auto"/>
            <w:noWrap/>
            <w:vAlign w:val="bottom"/>
            <w:hideMark/>
          </w:tcPr>
          <w:p w14:paraId="2AAC192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2 m at 2.39 g/t from 55m</w:t>
            </w:r>
          </w:p>
        </w:tc>
      </w:tr>
      <w:tr w:rsidR="002D639F" w:rsidRPr="00F03CD5" w14:paraId="587320CF"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45287A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KGRC-30</w:t>
            </w:r>
          </w:p>
        </w:tc>
        <w:tc>
          <w:tcPr>
            <w:tcW w:w="2845" w:type="dxa"/>
            <w:tcBorders>
              <w:top w:val="nil"/>
              <w:left w:val="nil"/>
              <w:bottom w:val="single" w:sz="4" w:space="0" w:color="auto"/>
              <w:right w:val="single" w:sz="4" w:space="0" w:color="auto"/>
            </w:tcBorders>
            <w:shd w:val="clear" w:color="auto" w:fill="auto"/>
            <w:noWrap/>
            <w:vAlign w:val="bottom"/>
            <w:hideMark/>
          </w:tcPr>
          <w:p w14:paraId="2D2AA7C6"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2 m at 1.02 g/t from 95m</w:t>
            </w:r>
          </w:p>
        </w:tc>
      </w:tr>
      <w:tr w:rsidR="002D639F" w:rsidRPr="00F03CD5" w14:paraId="3E675C42"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BE82C9"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KGRC-36</w:t>
            </w:r>
          </w:p>
        </w:tc>
        <w:tc>
          <w:tcPr>
            <w:tcW w:w="2845" w:type="dxa"/>
            <w:tcBorders>
              <w:top w:val="nil"/>
              <w:left w:val="nil"/>
              <w:bottom w:val="single" w:sz="4" w:space="0" w:color="auto"/>
              <w:right w:val="single" w:sz="4" w:space="0" w:color="auto"/>
            </w:tcBorders>
            <w:shd w:val="clear" w:color="auto" w:fill="auto"/>
            <w:noWrap/>
            <w:vAlign w:val="bottom"/>
            <w:hideMark/>
          </w:tcPr>
          <w:p w14:paraId="4EAC2DD6"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4 m at 0.76 g/t from 49m</w:t>
            </w:r>
          </w:p>
        </w:tc>
      </w:tr>
      <w:tr w:rsidR="002D639F" w:rsidRPr="00F03CD5" w14:paraId="50C7FA95" w14:textId="77777777" w:rsidTr="00E16F4B">
        <w:trPr>
          <w:trHeight w:val="21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E4B30F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KGRC-35</w:t>
            </w:r>
          </w:p>
        </w:tc>
        <w:tc>
          <w:tcPr>
            <w:tcW w:w="2845" w:type="dxa"/>
            <w:tcBorders>
              <w:top w:val="nil"/>
              <w:left w:val="nil"/>
              <w:bottom w:val="single" w:sz="4" w:space="0" w:color="auto"/>
              <w:right w:val="single" w:sz="4" w:space="0" w:color="auto"/>
            </w:tcBorders>
            <w:shd w:val="clear" w:color="auto" w:fill="auto"/>
            <w:noWrap/>
            <w:vAlign w:val="bottom"/>
            <w:hideMark/>
          </w:tcPr>
          <w:p w14:paraId="45A11C5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2 m at 0.96 g/t from 77m</w:t>
            </w:r>
          </w:p>
        </w:tc>
      </w:tr>
    </w:tbl>
    <w:p w14:paraId="22E517F2" w14:textId="77777777" w:rsidR="002D639F" w:rsidRDefault="002D639F" w:rsidP="002D639F">
      <w:pPr>
        <w:widowControl/>
        <w:autoSpaceDE w:val="0"/>
        <w:autoSpaceDN w:val="0"/>
        <w:adjustRightInd w:val="0"/>
        <w:spacing w:after="120"/>
        <w:rPr>
          <w:rFonts w:eastAsia="Calibri"/>
          <w:color w:val="000000"/>
          <w:sz w:val="16"/>
          <w:szCs w:val="16"/>
          <w:lang w:val="en-CA" w:eastAsia="en-CA"/>
        </w:rPr>
      </w:pPr>
      <w:r w:rsidRPr="00F03CD5">
        <w:rPr>
          <w:rFonts w:eastAsia="Calibri"/>
          <w:color w:val="000000"/>
          <w:sz w:val="16"/>
          <w:szCs w:val="16"/>
          <w:lang w:val="en-CA" w:eastAsia="en-CA"/>
        </w:rPr>
        <w:t>Note: True widths of the mineralized intervals are currently unknown</w:t>
      </w:r>
    </w:p>
    <w:p w14:paraId="49D47562" w14:textId="77777777" w:rsidR="002D639F" w:rsidRPr="0040297B" w:rsidRDefault="002D639F" w:rsidP="002D639F">
      <w:pPr>
        <w:widowControl/>
        <w:autoSpaceDE w:val="0"/>
        <w:autoSpaceDN w:val="0"/>
        <w:adjustRightInd w:val="0"/>
        <w:spacing w:after="120"/>
        <w:rPr>
          <w:rFonts w:eastAsia="Calibri"/>
          <w:b/>
          <w:color w:val="000000"/>
          <w:sz w:val="20"/>
          <w:lang w:val="en-CA" w:eastAsia="en-CA"/>
        </w:rPr>
      </w:pPr>
      <w:r w:rsidRPr="0040297B">
        <w:rPr>
          <w:rFonts w:eastAsia="Calibri"/>
          <w:b/>
          <w:color w:val="000000"/>
          <w:sz w:val="20"/>
          <w:lang w:val="en-CA" w:eastAsia="en-CA"/>
        </w:rPr>
        <w:t>Table 2: 2019 RC Drilling Program – Weighted Average Low Level Gold Intervals</w:t>
      </w:r>
    </w:p>
    <w:tbl>
      <w:tblPr>
        <w:tblW w:w="8926" w:type="dxa"/>
        <w:tblLook w:val="04A0" w:firstRow="1" w:lastRow="0" w:firstColumn="1" w:lastColumn="0" w:noHBand="0" w:noVBand="1"/>
      </w:tblPr>
      <w:tblGrid>
        <w:gridCol w:w="1129"/>
        <w:gridCol w:w="1134"/>
        <w:gridCol w:w="851"/>
        <w:gridCol w:w="886"/>
        <w:gridCol w:w="1940"/>
        <w:gridCol w:w="1001"/>
        <w:gridCol w:w="992"/>
        <w:gridCol w:w="993"/>
      </w:tblGrid>
      <w:tr w:rsidR="002D639F" w:rsidRPr="00F03CD5" w14:paraId="4EF7F185" w14:textId="77777777" w:rsidTr="00E16F4B">
        <w:trPr>
          <w:trHeight w:val="21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7FB9A"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Hole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6C3C5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From (m)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453463F"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To (m)</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49BAAFA9"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 xml:space="preserve">Length (m)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19F1B8E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Weighted Average Gold Grade (g/t)</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694EDC24"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Max Au (g/t)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603EB4"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Min Au (g/t)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45228E7"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No. &lt;.02 Au g/t</w:t>
            </w:r>
          </w:p>
        </w:tc>
      </w:tr>
      <w:tr w:rsidR="002D639F" w:rsidRPr="00F03CD5" w14:paraId="4F0C1C55" w14:textId="77777777" w:rsidTr="00E16F4B">
        <w:trPr>
          <w:trHeight w:val="21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F95FB9"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KGRC-31</w:t>
            </w:r>
          </w:p>
        </w:tc>
        <w:tc>
          <w:tcPr>
            <w:tcW w:w="1134" w:type="dxa"/>
            <w:tcBorders>
              <w:top w:val="nil"/>
              <w:left w:val="nil"/>
              <w:bottom w:val="single" w:sz="4" w:space="0" w:color="auto"/>
              <w:right w:val="single" w:sz="4" w:space="0" w:color="auto"/>
            </w:tcBorders>
            <w:shd w:val="clear" w:color="auto" w:fill="auto"/>
            <w:noWrap/>
            <w:vAlign w:val="bottom"/>
            <w:hideMark/>
          </w:tcPr>
          <w:p w14:paraId="31D9FEF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55</w:t>
            </w:r>
          </w:p>
        </w:tc>
        <w:tc>
          <w:tcPr>
            <w:tcW w:w="851" w:type="dxa"/>
            <w:tcBorders>
              <w:top w:val="nil"/>
              <w:left w:val="nil"/>
              <w:bottom w:val="single" w:sz="4" w:space="0" w:color="auto"/>
              <w:right w:val="single" w:sz="4" w:space="0" w:color="auto"/>
            </w:tcBorders>
            <w:shd w:val="clear" w:color="auto" w:fill="auto"/>
            <w:noWrap/>
            <w:vAlign w:val="bottom"/>
            <w:hideMark/>
          </w:tcPr>
          <w:p w14:paraId="131743DE"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65</w:t>
            </w:r>
          </w:p>
        </w:tc>
        <w:tc>
          <w:tcPr>
            <w:tcW w:w="886" w:type="dxa"/>
            <w:tcBorders>
              <w:top w:val="nil"/>
              <w:left w:val="nil"/>
              <w:bottom w:val="single" w:sz="4" w:space="0" w:color="auto"/>
              <w:right w:val="single" w:sz="4" w:space="0" w:color="auto"/>
            </w:tcBorders>
            <w:shd w:val="clear" w:color="auto" w:fill="auto"/>
            <w:noWrap/>
            <w:vAlign w:val="bottom"/>
            <w:hideMark/>
          </w:tcPr>
          <w:p w14:paraId="7E9351F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10</w:t>
            </w:r>
          </w:p>
        </w:tc>
        <w:tc>
          <w:tcPr>
            <w:tcW w:w="1940" w:type="dxa"/>
            <w:tcBorders>
              <w:top w:val="nil"/>
              <w:left w:val="nil"/>
              <w:bottom w:val="single" w:sz="4" w:space="0" w:color="auto"/>
              <w:right w:val="single" w:sz="4" w:space="0" w:color="auto"/>
            </w:tcBorders>
            <w:shd w:val="clear" w:color="auto" w:fill="auto"/>
            <w:noWrap/>
            <w:vAlign w:val="bottom"/>
            <w:hideMark/>
          </w:tcPr>
          <w:p w14:paraId="74BC8B61"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0.14</w:t>
            </w:r>
          </w:p>
        </w:tc>
        <w:tc>
          <w:tcPr>
            <w:tcW w:w="1001" w:type="dxa"/>
            <w:tcBorders>
              <w:top w:val="nil"/>
              <w:left w:val="nil"/>
              <w:bottom w:val="single" w:sz="4" w:space="0" w:color="auto"/>
              <w:right w:val="single" w:sz="4" w:space="0" w:color="auto"/>
            </w:tcBorders>
            <w:shd w:val="clear" w:color="auto" w:fill="auto"/>
            <w:noWrap/>
            <w:vAlign w:val="bottom"/>
            <w:hideMark/>
          </w:tcPr>
          <w:p w14:paraId="003C04D9"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0.57</w:t>
            </w:r>
          </w:p>
        </w:tc>
        <w:tc>
          <w:tcPr>
            <w:tcW w:w="992" w:type="dxa"/>
            <w:tcBorders>
              <w:top w:val="nil"/>
              <w:left w:val="nil"/>
              <w:bottom w:val="single" w:sz="4" w:space="0" w:color="auto"/>
              <w:right w:val="single" w:sz="4" w:space="0" w:color="auto"/>
            </w:tcBorders>
            <w:shd w:val="clear" w:color="auto" w:fill="auto"/>
            <w:noWrap/>
            <w:vAlign w:val="bottom"/>
            <w:hideMark/>
          </w:tcPr>
          <w:p w14:paraId="1992AF02"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0.01</w:t>
            </w:r>
          </w:p>
        </w:tc>
        <w:tc>
          <w:tcPr>
            <w:tcW w:w="993" w:type="dxa"/>
            <w:tcBorders>
              <w:top w:val="nil"/>
              <w:left w:val="nil"/>
              <w:bottom w:val="single" w:sz="4" w:space="0" w:color="auto"/>
              <w:right w:val="single" w:sz="4" w:space="0" w:color="auto"/>
            </w:tcBorders>
            <w:shd w:val="clear" w:color="auto" w:fill="auto"/>
            <w:noWrap/>
            <w:vAlign w:val="bottom"/>
            <w:hideMark/>
          </w:tcPr>
          <w:p w14:paraId="2B509FB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w:t>
            </w:r>
          </w:p>
        </w:tc>
      </w:tr>
      <w:tr w:rsidR="002D639F" w:rsidRPr="00F03CD5" w14:paraId="070F0915" w14:textId="77777777" w:rsidTr="00E16F4B">
        <w:trPr>
          <w:trHeight w:val="21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A7C7AA"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KGRC-34</w:t>
            </w:r>
          </w:p>
        </w:tc>
        <w:tc>
          <w:tcPr>
            <w:tcW w:w="1134" w:type="dxa"/>
            <w:tcBorders>
              <w:top w:val="nil"/>
              <w:left w:val="nil"/>
              <w:bottom w:val="single" w:sz="4" w:space="0" w:color="auto"/>
              <w:right w:val="single" w:sz="4" w:space="0" w:color="auto"/>
            </w:tcBorders>
            <w:shd w:val="clear" w:color="auto" w:fill="auto"/>
            <w:noWrap/>
            <w:vAlign w:val="bottom"/>
            <w:hideMark/>
          </w:tcPr>
          <w:p w14:paraId="25A395FB"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17</w:t>
            </w:r>
          </w:p>
        </w:tc>
        <w:tc>
          <w:tcPr>
            <w:tcW w:w="851" w:type="dxa"/>
            <w:tcBorders>
              <w:top w:val="nil"/>
              <w:left w:val="nil"/>
              <w:bottom w:val="single" w:sz="4" w:space="0" w:color="auto"/>
              <w:right w:val="single" w:sz="4" w:space="0" w:color="auto"/>
            </w:tcBorders>
            <w:shd w:val="clear" w:color="auto" w:fill="auto"/>
            <w:noWrap/>
            <w:vAlign w:val="bottom"/>
            <w:hideMark/>
          </w:tcPr>
          <w:p w14:paraId="0FBD9421"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30</w:t>
            </w:r>
          </w:p>
        </w:tc>
        <w:tc>
          <w:tcPr>
            <w:tcW w:w="886" w:type="dxa"/>
            <w:tcBorders>
              <w:top w:val="nil"/>
              <w:left w:val="nil"/>
              <w:bottom w:val="single" w:sz="4" w:space="0" w:color="auto"/>
              <w:right w:val="single" w:sz="4" w:space="0" w:color="auto"/>
            </w:tcBorders>
            <w:shd w:val="clear" w:color="auto" w:fill="auto"/>
            <w:noWrap/>
            <w:vAlign w:val="bottom"/>
            <w:hideMark/>
          </w:tcPr>
          <w:p w14:paraId="76E87693"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13</w:t>
            </w:r>
          </w:p>
        </w:tc>
        <w:tc>
          <w:tcPr>
            <w:tcW w:w="1940" w:type="dxa"/>
            <w:tcBorders>
              <w:top w:val="nil"/>
              <w:left w:val="nil"/>
              <w:bottom w:val="single" w:sz="4" w:space="0" w:color="auto"/>
              <w:right w:val="single" w:sz="4" w:space="0" w:color="auto"/>
            </w:tcBorders>
            <w:shd w:val="clear" w:color="auto" w:fill="auto"/>
            <w:noWrap/>
            <w:vAlign w:val="bottom"/>
            <w:hideMark/>
          </w:tcPr>
          <w:p w14:paraId="4F19D54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0.08</w:t>
            </w:r>
          </w:p>
        </w:tc>
        <w:tc>
          <w:tcPr>
            <w:tcW w:w="1001" w:type="dxa"/>
            <w:tcBorders>
              <w:top w:val="nil"/>
              <w:left w:val="nil"/>
              <w:bottom w:val="single" w:sz="4" w:space="0" w:color="auto"/>
              <w:right w:val="single" w:sz="4" w:space="0" w:color="auto"/>
            </w:tcBorders>
            <w:shd w:val="clear" w:color="auto" w:fill="auto"/>
            <w:noWrap/>
            <w:vAlign w:val="bottom"/>
            <w:hideMark/>
          </w:tcPr>
          <w:p w14:paraId="2D17994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0.44</w:t>
            </w:r>
          </w:p>
        </w:tc>
        <w:tc>
          <w:tcPr>
            <w:tcW w:w="992" w:type="dxa"/>
            <w:tcBorders>
              <w:top w:val="nil"/>
              <w:left w:val="nil"/>
              <w:bottom w:val="single" w:sz="4" w:space="0" w:color="auto"/>
              <w:right w:val="single" w:sz="4" w:space="0" w:color="auto"/>
            </w:tcBorders>
            <w:shd w:val="clear" w:color="auto" w:fill="auto"/>
            <w:noWrap/>
            <w:vAlign w:val="bottom"/>
            <w:hideMark/>
          </w:tcPr>
          <w:p w14:paraId="7D5EF647"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0.02</w:t>
            </w:r>
          </w:p>
        </w:tc>
        <w:tc>
          <w:tcPr>
            <w:tcW w:w="993" w:type="dxa"/>
            <w:tcBorders>
              <w:top w:val="nil"/>
              <w:left w:val="nil"/>
              <w:bottom w:val="single" w:sz="4" w:space="0" w:color="auto"/>
              <w:right w:val="single" w:sz="4" w:space="0" w:color="auto"/>
            </w:tcBorders>
            <w:shd w:val="clear" w:color="auto" w:fill="auto"/>
            <w:noWrap/>
            <w:vAlign w:val="bottom"/>
            <w:hideMark/>
          </w:tcPr>
          <w:p w14:paraId="3F1AED51"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w:t>
            </w:r>
          </w:p>
        </w:tc>
      </w:tr>
      <w:tr w:rsidR="002D639F" w:rsidRPr="00F03CD5" w14:paraId="3A840035" w14:textId="77777777" w:rsidTr="00E16F4B">
        <w:trPr>
          <w:trHeight w:val="21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6DC1722"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KGRC-35</w:t>
            </w:r>
          </w:p>
        </w:tc>
        <w:tc>
          <w:tcPr>
            <w:tcW w:w="1134" w:type="dxa"/>
            <w:tcBorders>
              <w:top w:val="nil"/>
              <w:left w:val="nil"/>
              <w:bottom w:val="single" w:sz="4" w:space="0" w:color="auto"/>
              <w:right w:val="single" w:sz="4" w:space="0" w:color="auto"/>
            </w:tcBorders>
            <w:shd w:val="clear" w:color="auto" w:fill="auto"/>
            <w:noWrap/>
            <w:vAlign w:val="bottom"/>
            <w:hideMark/>
          </w:tcPr>
          <w:p w14:paraId="24706F82"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8</w:t>
            </w:r>
          </w:p>
        </w:tc>
        <w:tc>
          <w:tcPr>
            <w:tcW w:w="851" w:type="dxa"/>
            <w:tcBorders>
              <w:top w:val="nil"/>
              <w:left w:val="nil"/>
              <w:bottom w:val="single" w:sz="4" w:space="0" w:color="auto"/>
              <w:right w:val="single" w:sz="4" w:space="0" w:color="auto"/>
            </w:tcBorders>
            <w:shd w:val="clear" w:color="auto" w:fill="auto"/>
            <w:noWrap/>
            <w:vAlign w:val="bottom"/>
            <w:hideMark/>
          </w:tcPr>
          <w:p w14:paraId="0872A73F"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50</w:t>
            </w:r>
          </w:p>
        </w:tc>
        <w:tc>
          <w:tcPr>
            <w:tcW w:w="886" w:type="dxa"/>
            <w:tcBorders>
              <w:top w:val="nil"/>
              <w:left w:val="nil"/>
              <w:bottom w:val="single" w:sz="4" w:space="0" w:color="auto"/>
              <w:right w:val="single" w:sz="4" w:space="0" w:color="auto"/>
            </w:tcBorders>
            <w:shd w:val="clear" w:color="auto" w:fill="auto"/>
            <w:noWrap/>
            <w:vAlign w:val="bottom"/>
            <w:hideMark/>
          </w:tcPr>
          <w:p w14:paraId="3186C74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42</w:t>
            </w:r>
          </w:p>
        </w:tc>
        <w:tc>
          <w:tcPr>
            <w:tcW w:w="1940" w:type="dxa"/>
            <w:tcBorders>
              <w:top w:val="nil"/>
              <w:left w:val="nil"/>
              <w:bottom w:val="single" w:sz="4" w:space="0" w:color="auto"/>
              <w:right w:val="single" w:sz="4" w:space="0" w:color="auto"/>
            </w:tcBorders>
            <w:shd w:val="clear" w:color="auto" w:fill="auto"/>
            <w:noWrap/>
            <w:vAlign w:val="bottom"/>
            <w:hideMark/>
          </w:tcPr>
          <w:p w14:paraId="1A97826D"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0.06</w:t>
            </w:r>
          </w:p>
        </w:tc>
        <w:tc>
          <w:tcPr>
            <w:tcW w:w="1001" w:type="dxa"/>
            <w:tcBorders>
              <w:top w:val="nil"/>
              <w:left w:val="nil"/>
              <w:bottom w:val="single" w:sz="4" w:space="0" w:color="auto"/>
              <w:right w:val="single" w:sz="4" w:space="0" w:color="auto"/>
            </w:tcBorders>
            <w:shd w:val="clear" w:color="auto" w:fill="auto"/>
            <w:noWrap/>
            <w:vAlign w:val="bottom"/>
            <w:hideMark/>
          </w:tcPr>
          <w:p w14:paraId="417359B4"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1.12</w:t>
            </w:r>
          </w:p>
        </w:tc>
        <w:tc>
          <w:tcPr>
            <w:tcW w:w="992" w:type="dxa"/>
            <w:tcBorders>
              <w:top w:val="nil"/>
              <w:left w:val="nil"/>
              <w:bottom w:val="single" w:sz="4" w:space="0" w:color="auto"/>
              <w:right w:val="single" w:sz="4" w:space="0" w:color="auto"/>
            </w:tcBorders>
            <w:shd w:val="clear" w:color="auto" w:fill="auto"/>
            <w:noWrap/>
            <w:vAlign w:val="bottom"/>
            <w:hideMark/>
          </w:tcPr>
          <w:p w14:paraId="01451A86"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0.01</w:t>
            </w:r>
          </w:p>
        </w:tc>
        <w:tc>
          <w:tcPr>
            <w:tcW w:w="993" w:type="dxa"/>
            <w:tcBorders>
              <w:top w:val="nil"/>
              <w:left w:val="nil"/>
              <w:bottom w:val="single" w:sz="4" w:space="0" w:color="auto"/>
              <w:right w:val="single" w:sz="4" w:space="0" w:color="auto"/>
            </w:tcBorders>
            <w:shd w:val="clear" w:color="auto" w:fill="auto"/>
            <w:noWrap/>
            <w:vAlign w:val="bottom"/>
            <w:hideMark/>
          </w:tcPr>
          <w:p w14:paraId="531728C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5</w:t>
            </w:r>
          </w:p>
        </w:tc>
      </w:tr>
      <w:tr w:rsidR="002D639F" w:rsidRPr="00F03CD5" w14:paraId="6995E4F3" w14:textId="77777777" w:rsidTr="00E16F4B">
        <w:trPr>
          <w:trHeight w:val="21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508D31B"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KGRC-35</w:t>
            </w:r>
          </w:p>
        </w:tc>
        <w:tc>
          <w:tcPr>
            <w:tcW w:w="1134" w:type="dxa"/>
            <w:tcBorders>
              <w:top w:val="nil"/>
              <w:left w:val="nil"/>
              <w:bottom w:val="single" w:sz="4" w:space="0" w:color="auto"/>
              <w:right w:val="single" w:sz="4" w:space="0" w:color="auto"/>
            </w:tcBorders>
            <w:shd w:val="clear" w:color="auto" w:fill="auto"/>
            <w:noWrap/>
            <w:vAlign w:val="bottom"/>
            <w:hideMark/>
          </w:tcPr>
          <w:p w14:paraId="6E97BB8D"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70</w:t>
            </w:r>
          </w:p>
        </w:tc>
        <w:tc>
          <w:tcPr>
            <w:tcW w:w="851" w:type="dxa"/>
            <w:tcBorders>
              <w:top w:val="nil"/>
              <w:left w:val="nil"/>
              <w:bottom w:val="single" w:sz="4" w:space="0" w:color="auto"/>
              <w:right w:val="single" w:sz="4" w:space="0" w:color="auto"/>
            </w:tcBorders>
            <w:shd w:val="clear" w:color="auto" w:fill="auto"/>
            <w:noWrap/>
            <w:vAlign w:val="bottom"/>
            <w:hideMark/>
          </w:tcPr>
          <w:p w14:paraId="4E02FD1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79</w:t>
            </w:r>
          </w:p>
        </w:tc>
        <w:tc>
          <w:tcPr>
            <w:tcW w:w="886" w:type="dxa"/>
            <w:tcBorders>
              <w:top w:val="nil"/>
              <w:left w:val="nil"/>
              <w:bottom w:val="single" w:sz="4" w:space="0" w:color="auto"/>
              <w:right w:val="single" w:sz="4" w:space="0" w:color="auto"/>
            </w:tcBorders>
            <w:shd w:val="clear" w:color="auto" w:fill="auto"/>
            <w:noWrap/>
            <w:vAlign w:val="bottom"/>
            <w:hideMark/>
          </w:tcPr>
          <w:p w14:paraId="63B458B5"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9</w:t>
            </w:r>
          </w:p>
        </w:tc>
        <w:tc>
          <w:tcPr>
            <w:tcW w:w="1940" w:type="dxa"/>
            <w:tcBorders>
              <w:top w:val="nil"/>
              <w:left w:val="nil"/>
              <w:bottom w:val="single" w:sz="4" w:space="0" w:color="auto"/>
              <w:right w:val="single" w:sz="4" w:space="0" w:color="auto"/>
            </w:tcBorders>
            <w:shd w:val="clear" w:color="auto" w:fill="auto"/>
            <w:noWrap/>
            <w:vAlign w:val="bottom"/>
            <w:hideMark/>
          </w:tcPr>
          <w:p w14:paraId="18BC138A"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0.83</w:t>
            </w:r>
          </w:p>
        </w:tc>
        <w:tc>
          <w:tcPr>
            <w:tcW w:w="1001" w:type="dxa"/>
            <w:tcBorders>
              <w:top w:val="nil"/>
              <w:left w:val="nil"/>
              <w:bottom w:val="single" w:sz="4" w:space="0" w:color="auto"/>
              <w:right w:val="single" w:sz="4" w:space="0" w:color="auto"/>
            </w:tcBorders>
            <w:shd w:val="clear" w:color="auto" w:fill="auto"/>
            <w:noWrap/>
            <w:vAlign w:val="bottom"/>
            <w:hideMark/>
          </w:tcPr>
          <w:p w14:paraId="02464B4F"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5.45</w:t>
            </w:r>
          </w:p>
        </w:tc>
        <w:tc>
          <w:tcPr>
            <w:tcW w:w="992" w:type="dxa"/>
            <w:tcBorders>
              <w:top w:val="nil"/>
              <w:left w:val="nil"/>
              <w:bottom w:val="single" w:sz="4" w:space="0" w:color="auto"/>
              <w:right w:val="single" w:sz="4" w:space="0" w:color="auto"/>
            </w:tcBorders>
            <w:shd w:val="clear" w:color="auto" w:fill="auto"/>
            <w:noWrap/>
            <w:vAlign w:val="bottom"/>
            <w:hideMark/>
          </w:tcPr>
          <w:p w14:paraId="5DC3D5B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0.01</w:t>
            </w:r>
          </w:p>
        </w:tc>
        <w:tc>
          <w:tcPr>
            <w:tcW w:w="993" w:type="dxa"/>
            <w:tcBorders>
              <w:top w:val="nil"/>
              <w:left w:val="nil"/>
              <w:bottom w:val="single" w:sz="4" w:space="0" w:color="auto"/>
              <w:right w:val="single" w:sz="4" w:space="0" w:color="auto"/>
            </w:tcBorders>
            <w:shd w:val="clear" w:color="auto" w:fill="auto"/>
            <w:noWrap/>
            <w:vAlign w:val="bottom"/>
            <w:hideMark/>
          </w:tcPr>
          <w:p w14:paraId="3CE99F6D"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1</w:t>
            </w:r>
          </w:p>
        </w:tc>
      </w:tr>
      <w:tr w:rsidR="002D639F" w:rsidRPr="00F03CD5" w14:paraId="3C8C6FCA" w14:textId="77777777" w:rsidTr="00E16F4B">
        <w:trPr>
          <w:trHeight w:val="21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7D1BA4"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KGRC-36</w:t>
            </w:r>
          </w:p>
        </w:tc>
        <w:tc>
          <w:tcPr>
            <w:tcW w:w="1134" w:type="dxa"/>
            <w:tcBorders>
              <w:top w:val="nil"/>
              <w:left w:val="nil"/>
              <w:bottom w:val="single" w:sz="4" w:space="0" w:color="auto"/>
              <w:right w:val="single" w:sz="4" w:space="0" w:color="auto"/>
            </w:tcBorders>
            <w:shd w:val="clear" w:color="auto" w:fill="auto"/>
            <w:noWrap/>
            <w:vAlign w:val="bottom"/>
            <w:hideMark/>
          </w:tcPr>
          <w:p w14:paraId="789A227D"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8</w:t>
            </w:r>
          </w:p>
        </w:tc>
        <w:tc>
          <w:tcPr>
            <w:tcW w:w="851" w:type="dxa"/>
            <w:tcBorders>
              <w:top w:val="nil"/>
              <w:left w:val="nil"/>
              <w:bottom w:val="single" w:sz="4" w:space="0" w:color="auto"/>
              <w:right w:val="single" w:sz="4" w:space="0" w:color="auto"/>
            </w:tcBorders>
            <w:shd w:val="clear" w:color="auto" w:fill="auto"/>
            <w:noWrap/>
            <w:vAlign w:val="bottom"/>
            <w:hideMark/>
          </w:tcPr>
          <w:p w14:paraId="4C2A134A"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89</w:t>
            </w:r>
          </w:p>
        </w:tc>
        <w:tc>
          <w:tcPr>
            <w:tcW w:w="886" w:type="dxa"/>
            <w:tcBorders>
              <w:top w:val="nil"/>
              <w:left w:val="nil"/>
              <w:bottom w:val="single" w:sz="4" w:space="0" w:color="auto"/>
              <w:right w:val="single" w:sz="4" w:space="0" w:color="auto"/>
            </w:tcBorders>
            <w:shd w:val="clear" w:color="auto" w:fill="auto"/>
            <w:noWrap/>
            <w:vAlign w:val="bottom"/>
            <w:hideMark/>
          </w:tcPr>
          <w:p w14:paraId="0532DDB8"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81</w:t>
            </w:r>
          </w:p>
        </w:tc>
        <w:tc>
          <w:tcPr>
            <w:tcW w:w="1940" w:type="dxa"/>
            <w:tcBorders>
              <w:top w:val="nil"/>
              <w:left w:val="nil"/>
              <w:bottom w:val="single" w:sz="4" w:space="0" w:color="auto"/>
              <w:right w:val="single" w:sz="4" w:space="0" w:color="auto"/>
            </w:tcBorders>
            <w:shd w:val="clear" w:color="auto" w:fill="auto"/>
            <w:noWrap/>
            <w:vAlign w:val="bottom"/>
            <w:hideMark/>
          </w:tcPr>
          <w:p w14:paraId="0B709B89"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0.12</w:t>
            </w:r>
          </w:p>
        </w:tc>
        <w:tc>
          <w:tcPr>
            <w:tcW w:w="1001" w:type="dxa"/>
            <w:tcBorders>
              <w:top w:val="nil"/>
              <w:left w:val="nil"/>
              <w:bottom w:val="single" w:sz="4" w:space="0" w:color="auto"/>
              <w:right w:val="single" w:sz="4" w:space="0" w:color="auto"/>
            </w:tcBorders>
            <w:shd w:val="clear" w:color="auto" w:fill="auto"/>
            <w:noWrap/>
            <w:vAlign w:val="bottom"/>
            <w:hideMark/>
          </w:tcPr>
          <w:p w14:paraId="7A0B9961"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2.46</w:t>
            </w:r>
          </w:p>
        </w:tc>
        <w:tc>
          <w:tcPr>
            <w:tcW w:w="992" w:type="dxa"/>
            <w:tcBorders>
              <w:top w:val="nil"/>
              <w:left w:val="nil"/>
              <w:bottom w:val="single" w:sz="4" w:space="0" w:color="auto"/>
              <w:right w:val="single" w:sz="4" w:space="0" w:color="auto"/>
            </w:tcBorders>
            <w:shd w:val="clear" w:color="auto" w:fill="auto"/>
            <w:noWrap/>
            <w:vAlign w:val="bottom"/>
            <w:hideMark/>
          </w:tcPr>
          <w:p w14:paraId="2A080A70"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0.01</w:t>
            </w:r>
          </w:p>
        </w:tc>
        <w:tc>
          <w:tcPr>
            <w:tcW w:w="993" w:type="dxa"/>
            <w:tcBorders>
              <w:top w:val="nil"/>
              <w:left w:val="nil"/>
              <w:bottom w:val="single" w:sz="4" w:space="0" w:color="auto"/>
              <w:right w:val="single" w:sz="4" w:space="0" w:color="auto"/>
            </w:tcBorders>
            <w:shd w:val="clear" w:color="auto" w:fill="auto"/>
            <w:noWrap/>
            <w:vAlign w:val="bottom"/>
            <w:hideMark/>
          </w:tcPr>
          <w:p w14:paraId="11852941" w14:textId="77777777" w:rsidR="002D639F" w:rsidRPr="00F03CD5" w:rsidRDefault="002D639F" w:rsidP="00E16F4B">
            <w:pPr>
              <w:widowControl/>
              <w:autoSpaceDE w:val="0"/>
              <w:autoSpaceDN w:val="0"/>
              <w:adjustRightInd w:val="0"/>
              <w:rPr>
                <w:rFonts w:eastAsia="Calibri"/>
                <w:color w:val="000000"/>
                <w:sz w:val="20"/>
                <w:lang w:eastAsia="en-CA"/>
              </w:rPr>
            </w:pPr>
            <w:r w:rsidRPr="00F03CD5">
              <w:rPr>
                <w:rFonts w:eastAsia="Calibri"/>
                <w:color w:val="000000"/>
                <w:sz w:val="20"/>
                <w:lang w:eastAsia="en-CA"/>
              </w:rPr>
              <w:t>5</w:t>
            </w:r>
          </w:p>
        </w:tc>
      </w:tr>
    </w:tbl>
    <w:p w14:paraId="72A975AA" w14:textId="77777777" w:rsidR="002D639F" w:rsidRPr="00F03CD5" w:rsidRDefault="002D639F" w:rsidP="002D639F">
      <w:pPr>
        <w:widowControl/>
        <w:autoSpaceDE w:val="0"/>
        <w:autoSpaceDN w:val="0"/>
        <w:adjustRightInd w:val="0"/>
        <w:spacing w:after="120"/>
        <w:rPr>
          <w:rFonts w:eastAsia="Calibri"/>
          <w:color w:val="000000"/>
          <w:sz w:val="16"/>
          <w:szCs w:val="16"/>
          <w:lang w:val="en-CA" w:eastAsia="en-CA"/>
        </w:rPr>
      </w:pPr>
      <w:r w:rsidRPr="00F03CD5">
        <w:rPr>
          <w:rFonts w:eastAsia="Calibri"/>
          <w:color w:val="000000"/>
          <w:sz w:val="16"/>
          <w:szCs w:val="16"/>
          <w:lang w:val="en-CA" w:eastAsia="en-CA"/>
        </w:rPr>
        <w:t>Note: True widths of the mineralized intervals are currently unknown</w:t>
      </w:r>
    </w:p>
    <w:p w14:paraId="6A14006D" w14:textId="77777777" w:rsidR="002D639F" w:rsidRDefault="002D639F" w:rsidP="002D639F">
      <w:pPr>
        <w:widowControl/>
        <w:autoSpaceDE w:val="0"/>
        <w:autoSpaceDN w:val="0"/>
        <w:adjustRightInd w:val="0"/>
        <w:spacing w:after="120"/>
        <w:rPr>
          <w:rFonts w:eastAsia="Calibri"/>
          <w:b/>
          <w:color w:val="000000"/>
          <w:sz w:val="20"/>
          <w:lang w:val="en-CA" w:eastAsia="en-CA"/>
        </w:rPr>
      </w:pPr>
      <w:bookmarkStart w:id="2" w:name="_Hlk29568284"/>
      <w:proofErr w:type="gramStart"/>
      <w:r w:rsidRPr="0040297B">
        <w:rPr>
          <w:rFonts w:eastAsia="Calibri"/>
          <w:b/>
          <w:color w:val="000000"/>
          <w:sz w:val="20"/>
          <w:lang w:val="en-CA" w:eastAsia="en-CA"/>
        </w:rPr>
        <w:t>Figure 3: A-A’ Longitudinal Section along Killag Anticline hinge in area of Killag historical mine workings.</w:t>
      </w:r>
      <w:proofErr w:type="gramEnd"/>
    </w:p>
    <w:bookmarkEnd w:id="2"/>
    <w:p w14:paraId="1C61579A" w14:textId="781FFDB8" w:rsidR="002D639F" w:rsidRPr="00F03CD5" w:rsidRDefault="00936F3C" w:rsidP="002D639F">
      <w:pPr>
        <w:widowControl/>
        <w:autoSpaceDE w:val="0"/>
        <w:autoSpaceDN w:val="0"/>
        <w:adjustRightInd w:val="0"/>
        <w:spacing w:after="120"/>
        <w:rPr>
          <w:rFonts w:eastAsia="Calibri"/>
          <w:b/>
          <w:bCs/>
          <w:color w:val="000000"/>
          <w:sz w:val="20"/>
          <w:lang w:val="en-CA" w:eastAsia="en-CA"/>
        </w:rPr>
      </w:pPr>
      <w:r>
        <w:rPr>
          <w:rFonts w:eastAsia="Calibri"/>
          <w:b/>
          <w:noProof/>
          <w:color w:val="000000"/>
          <w:sz w:val="20"/>
        </w:rPr>
        <w:drawing>
          <wp:inline distT="0" distB="0" distL="0" distR="0" wp14:anchorId="2C62ABC5" wp14:editId="2891B02A">
            <wp:extent cx="5029200" cy="2790825"/>
            <wp:effectExtent l="19050" t="1905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790825"/>
                    </a:xfrm>
                    <a:prstGeom prst="rect">
                      <a:avLst/>
                    </a:prstGeom>
                    <a:noFill/>
                    <a:ln w="12700" cmpd="sng">
                      <a:solidFill>
                        <a:srgbClr val="000000"/>
                      </a:solidFill>
                      <a:miter lim="800000"/>
                      <a:headEnd/>
                      <a:tailEnd/>
                    </a:ln>
                    <a:effectLst/>
                  </pic:spPr>
                </pic:pic>
              </a:graphicData>
            </a:graphic>
          </wp:inline>
        </w:drawing>
      </w:r>
    </w:p>
    <w:p w14:paraId="5D6A680A" w14:textId="77777777" w:rsidR="00E16F4B" w:rsidRPr="007B0E47" w:rsidRDefault="00E16F4B" w:rsidP="00E16F4B">
      <w:pPr>
        <w:widowControl/>
        <w:autoSpaceDE w:val="0"/>
        <w:autoSpaceDN w:val="0"/>
        <w:adjustRightInd w:val="0"/>
        <w:spacing w:after="120"/>
        <w:rPr>
          <w:rFonts w:eastAsia="Calibri"/>
          <w:b/>
          <w:bCs/>
          <w:color w:val="000000"/>
          <w:sz w:val="20"/>
          <w:lang w:eastAsia="en-CA"/>
        </w:rPr>
      </w:pPr>
      <w:r>
        <w:rPr>
          <w:rFonts w:eastAsia="Calibri"/>
          <w:color w:val="000000"/>
          <w:sz w:val="20"/>
          <w:lang w:val="en-CA" w:eastAsia="en-CA"/>
        </w:rPr>
        <w:br w:type="page"/>
      </w:r>
      <w:r w:rsidRPr="007B0E47">
        <w:rPr>
          <w:rFonts w:eastAsia="Calibri"/>
          <w:b/>
          <w:bCs/>
          <w:color w:val="000000"/>
          <w:sz w:val="20"/>
          <w:lang w:eastAsia="en-CA"/>
        </w:rPr>
        <w:lastRenderedPageBreak/>
        <w:t>EXPLORATION AND DEVELOPMENT STRATEGY (CONTINUED)</w:t>
      </w:r>
    </w:p>
    <w:p w14:paraId="56263135" w14:textId="77777777" w:rsidR="00E16F4B" w:rsidRDefault="00E16F4B" w:rsidP="00E16F4B">
      <w:pPr>
        <w:widowControl/>
        <w:autoSpaceDE w:val="0"/>
        <w:autoSpaceDN w:val="0"/>
        <w:adjustRightInd w:val="0"/>
        <w:spacing w:after="120"/>
        <w:rPr>
          <w:rFonts w:eastAsia="Calibri"/>
          <w:b/>
          <w:bCs/>
          <w:color w:val="000000"/>
          <w:sz w:val="20"/>
          <w:lang w:val="en-CA" w:eastAsia="en-CA"/>
        </w:rPr>
      </w:pPr>
      <w:r>
        <w:rPr>
          <w:rFonts w:eastAsia="Calibri"/>
          <w:b/>
          <w:bCs/>
          <w:color w:val="000000"/>
          <w:sz w:val="20"/>
          <w:lang w:val="en-CA" w:eastAsia="en-CA"/>
        </w:rPr>
        <w:t>KILLAG (CONTINUED)</w:t>
      </w:r>
    </w:p>
    <w:p w14:paraId="123A9579" w14:textId="3A193AFB" w:rsidR="002D639F" w:rsidRPr="00F03CD5" w:rsidRDefault="002D639F" w:rsidP="002D639F">
      <w:pPr>
        <w:widowControl/>
        <w:autoSpaceDE w:val="0"/>
        <w:autoSpaceDN w:val="0"/>
        <w:adjustRightInd w:val="0"/>
        <w:spacing w:after="240"/>
        <w:jc w:val="both"/>
        <w:rPr>
          <w:rFonts w:eastAsia="Calibri"/>
          <w:color w:val="000000"/>
          <w:sz w:val="20"/>
          <w:lang w:val="en-CA" w:eastAsia="en-CA"/>
        </w:rPr>
      </w:pPr>
      <w:r w:rsidRPr="00F03CD5">
        <w:rPr>
          <w:rFonts w:eastAsia="Calibri"/>
          <w:color w:val="000000"/>
          <w:sz w:val="20"/>
          <w:lang w:val="en-CA" w:eastAsia="en-CA"/>
        </w:rPr>
        <w:t>The low level gold zones exemplified in results from holes KGRC-35 and KGRC-36 are interpreted by MegumaGold as forming part of a broad envelope of pervasive, gold anomalism associated with altered bedrock in the Killag anticline’s anticlinal hinge zone structural corridor, particularly east of the areas of past exploration drilling and underground investigations. Evidence of a similar low</w:t>
      </w:r>
      <w:r w:rsidR="00FD0973">
        <w:rPr>
          <w:rFonts w:eastAsia="Calibri"/>
          <w:color w:val="000000"/>
          <w:sz w:val="20"/>
          <w:lang w:val="en-CA" w:eastAsia="en-CA"/>
        </w:rPr>
        <w:t>-</w:t>
      </w:r>
      <w:r w:rsidRPr="00F03CD5">
        <w:rPr>
          <w:rFonts w:eastAsia="Calibri"/>
          <w:color w:val="000000"/>
          <w:sz w:val="20"/>
          <w:lang w:val="en-CA" w:eastAsia="en-CA"/>
        </w:rPr>
        <w:t>level gold trend is also present in an interbedded greywacke and argillite section intercepted by MegumaGold’s RC hole KGRC-17 located approximately 1 km west of KGRC-36 along the same structural corridor. This distribution pattern is interpreted by MegumaGold as indicating that a significant, gold-bearing hydrothermal alteration system has affected the anticlinal hinge zone structural corridor on the Killag property. Importantly, the low</w:t>
      </w:r>
      <w:r w:rsidR="00FD0973">
        <w:rPr>
          <w:rFonts w:eastAsia="Calibri"/>
          <w:color w:val="000000"/>
          <w:sz w:val="20"/>
          <w:lang w:val="en-CA" w:eastAsia="en-CA"/>
        </w:rPr>
        <w:t>-</w:t>
      </w:r>
      <w:r w:rsidRPr="00F03CD5">
        <w:rPr>
          <w:rFonts w:eastAsia="Calibri"/>
          <w:color w:val="000000"/>
          <w:sz w:val="20"/>
          <w:lang w:val="en-CA" w:eastAsia="en-CA"/>
        </w:rPr>
        <w:t xml:space="preserve">level gold halo zone coincides with anomalous </w:t>
      </w:r>
      <w:proofErr w:type="spellStart"/>
      <w:r w:rsidRPr="00F03CD5">
        <w:rPr>
          <w:rFonts w:eastAsia="Calibri"/>
          <w:color w:val="000000"/>
          <w:sz w:val="20"/>
          <w:lang w:val="en-CA" w:eastAsia="en-CA"/>
        </w:rPr>
        <w:t>lithogeochemical</w:t>
      </w:r>
      <w:proofErr w:type="spellEnd"/>
      <w:r w:rsidRPr="00F03CD5">
        <w:rPr>
          <w:rFonts w:eastAsia="Calibri"/>
          <w:color w:val="000000"/>
          <w:sz w:val="20"/>
          <w:lang w:val="en-CA" w:eastAsia="en-CA"/>
        </w:rPr>
        <w:t xml:space="preserve"> alteration index values calculated using MegumaGold’s proprietary methodology. Systematic testing of this mineralizing/alteration system’s affect, particularly in areas of argillite-rich stratigraphy along the anticlinal trend, is of highest exploration priority for MegumaGold. </w:t>
      </w:r>
    </w:p>
    <w:p w14:paraId="6C8506EA" w14:textId="77777777" w:rsidR="00E16F4B" w:rsidRDefault="002D639F" w:rsidP="002D639F">
      <w:pPr>
        <w:widowControl/>
        <w:autoSpaceDE w:val="0"/>
        <w:autoSpaceDN w:val="0"/>
        <w:adjustRightInd w:val="0"/>
        <w:spacing w:after="120"/>
        <w:jc w:val="both"/>
        <w:rPr>
          <w:rFonts w:eastAsia="Calibri"/>
          <w:color w:val="000000"/>
          <w:sz w:val="20"/>
          <w:lang w:val="en-CA" w:eastAsia="en-CA"/>
        </w:rPr>
      </w:pPr>
      <w:r w:rsidRPr="00F03CD5">
        <w:rPr>
          <w:rFonts w:eastAsia="Calibri"/>
          <w:color w:val="000000"/>
          <w:sz w:val="20"/>
          <w:lang w:val="en-CA" w:eastAsia="en-CA"/>
        </w:rPr>
        <w:t xml:space="preserve">To better understand the significance of the gold halo identified at Killag, the Company reviewed publicly available drilling results for several major gold deposits of the Nova Scotia Goldfields. This included data from the Touquoy Gold Mine and Beaverdam deposits held by St. Barbara Ltd. as well data from the Goldboro deposit held by Anaconda Mining Ltd. In each case a low level gold grade halo zone in the 10 to 100 parts per billion (ppb) </w:t>
      </w:r>
      <w:proofErr w:type="gramStart"/>
      <w:r w:rsidRPr="00F03CD5">
        <w:rPr>
          <w:rFonts w:eastAsia="Calibri"/>
          <w:color w:val="000000"/>
          <w:sz w:val="20"/>
          <w:lang w:val="en-CA" w:eastAsia="en-CA"/>
        </w:rPr>
        <w:t>range</w:t>
      </w:r>
      <w:proofErr w:type="gramEnd"/>
      <w:r w:rsidRPr="00F03CD5">
        <w:rPr>
          <w:rFonts w:eastAsia="Calibri"/>
          <w:color w:val="000000"/>
          <w:sz w:val="20"/>
          <w:lang w:val="en-CA" w:eastAsia="en-CA"/>
        </w:rPr>
        <w:t xml:space="preserve"> was identified in variably altered bedrock sequences that adjoin obviously gold-enriched areas that comprise significant mineralization of the respective deposits. Recognition of this association is important </w:t>
      </w:r>
      <w:r>
        <w:rPr>
          <w:rFonts w:eastAsia="Calibri"/>
          <w:color w:val="000000"/>
          <w:sz w:val="20"/>
          <w:lang w:val="en-CA" w:eastAsia="en-CA"/>
        </w:rPr>
        <w:t>as</w:t>
      </w:r>
      <w:r w:rsidRPr="00F03CD5">
        <w:rPr>
          <w:rFonts w:eastAsia="Calibri"/>
          <w:color w:val="000000"/>
          <w:sz w:val="20"/>
          <w:lang w:val="en-CA" w:eastAsia="en-CA"/>
        </w:rPr>
        <w:t xml:space="preserve"> it suggests that broadly developed low level gold anomalism in altered </w:t>
      </w:r>
      <w:proofErr w:type="spellStart"/>
      <w:r w:rsidRPr="00F03CD5">
        <w:rPr>
          <w:rFonts w:eastAsia="Calibri"/>
          <w:color w:val="000000"/>
          <w:sz w:val="20"/>
          <w:lang w:val="en-CA" w:eastAsia="en-CA"/>
        </w:rPr>
        <w:t>wallrock</w:t>
      </w:r>
      <w:proofErr w:type="spellEnd"/>
      <w:r w:rsidRPr="00F03CD5">
        <w:rPr>
          <w:rFonts w:eastAsia="Calibri"/>
          <w:color w:val="000000"/>
          <w:sz w:val="20"/>
          <w:lang w:val="en-CA" w:eastAsia="en-CA"/>
        </w:rPr>
        <w:t xml:space="preserve"> sequences is a potential indicator of proximity to a significant gold deposit. Review of datasets from several other areas that have less significant bedrock gold mineralization showed that pervasively developed low level gold halo mineralization is not developed in such settings.</w:t>
      </w:r>
    </w:p>
    <w:p w14:paraId="4667358B" w14:textId="77777777" w:rsidR="002D639F" w:rsidRPr="00F03CD5" w:rsidRDefault="002D639F" w:rsidP="002D639F">
      <w:pPr>
        <w:widowControl/>
        <w:autoSpaceDE w:val="0"/>
        <w:autoSpaceDN w:val="0"/>
        <w:adjustRightInd w:val="0"/>
        <w:spacing w:after="120"/>
        <w:rPr>
          <w:rFonts w:eastAsia="Calibri"/>
          <w:color w:val="000000"/>
          <w:sz w:val="20"/>
          <w:lang w:val="en-CA" w:eastAsia="en-CA"/>
        </w:rPr>
      </w:pPr>
      <w:r w:rsidRPr="00F03CD5">
        <w:rPr>
          <w:rFonts w:eastAsia="Calibri"/>
          <w:color w:val="000000"/>
          <w:sz w:val="20"/>
          <w:lang w:val="en-CA" w:eastAsia="en-CA"/>
        </w:rPr>
        <w:t xml:space="preserve">Cross Lake Area – East Extension </w:t>
      </w:r>
      <w:r>
        <w:rPr>
          <w:rFonts w:eastAsia="Calibri"/>
          <w:color w:val="000000"/>
          <w:sz w:val="20"/>
          <w:lang w:val="en-CA" w:eastAsia="en-CA"/>
        </w:rPr>
        <w:t>of</w:t>
      </w:r>
      <w:r w:rsidRPr="00F03CD5">
        <w:rPr>
          <w:rFonts w:eastAsia="Calibri"/>
          <w:color w:val="000000"/>
          <w:sz w:val="20"/>
          <w:lang w:val="en-CA" w:eastAsia="en-CA"/>
        </w:rPr>
        <w:t xml:space="preserve"> Killag Property </w:t>
      </w:r>
    </w:p>
    <w:p w14:paraId="007DFD20" w14:textId="77777777" w:rsidR="002D639F" w:rsidRPr="000D3834" w:rsidRDefault="002D639F" w:rsidP="002D639F">
      <w:pPr>
        <w:widowControl/>
        <w:autoSpaceDE w:val="0"/>
        <w:autoSpaceDN w:val="0"/>
        <w:adjustRightInd w:val="0"/>
        <w:jc w:val="both"/>
        <w:rPr>
          <w:spacing w:val="-2"/>
          <w:sz w:val="20"/>
          <w:lang w:val="en-CA"/>
        </w:rPr>
      </w:pPr>
      <w:r w:rsidRPr="00F03CD5">
        <w:rPr>
          <w:rFonts w:eastAsia="Calibri"/>
          <w:color w:val="000000"/>
          <w:sz w:val="20"/>
          <w:lang w:val="en-CA" w:eastAsia="en-CA"/>
        </w:rPr>
        <w:t xml:space="preserve">MegumaGold completed a small till sampling program approximately 6 km east of the 2019 RC drilling program area, along the projected trend of the Killag-Goldenville anticlinal hinge zone corridor. In total, 11 samples were collected and submitted to Eastern Analytical (“Eastern”) in Springdale, NL for processing and analysis. Gold values between </w:t>
      </w:r>
      <w:r w:rsidRPr="000D3834">
        <w:rPr>
          <w:spacing w:val="-2"/>
          <w:sz w:val="20"/>
          <w:lang w:val="en-CA"/>
        </w:rPr>
        <w:t xml:space="preserve">6 parts per billion (ppb) and 11 ppb within fine-fraction C-horizon samples were returned and define a spatial grouping in one area that measures approximately 500 m in length by 200 m in width. MegumaGold feels that this group of anomalous gold values identifies a target area that warrants further systematic investigation. Historic work documented in Nova Scotia government databases for the area also returned locally anomalous till results. After completion of desktop compilation work and re-processing of historic ground geophysical data from this area, MegumaGold is planning to carry out prospecting, geological reconnaissance mapping, B horizon soil sampling and additional till sampling. Heavy mineral concentrates are also being prepared from the till samples already collected from the area and will be studied for gold and mineralogic content prior to geochemical analysis.  Ground magnetometer and VLF-EM geophysical surveying will also be undertaken to augment compiled and reprocessed historic survey datasets. The goal for early 2020 work in this area of the property is to rapidly assess potential for definition of core drilling targets that could be tested later in 2020.  </w:t>
      </w:r>
    </w:p>
    <w:p w14:paraId="7C64701D" w14:textId="77777777" w:rsidR="002D639F" w:rsidRDefault="002D639F" w:rsidP="002D639F">
      <w:pPr>
        <w:autoSpaceDE w:val="0"/>
        <w:autoSpaceDN w:val="0"/>
        <w:adjustRightInd w:val="0"/>
        <w:jc w:val="both"/>
        <w:rPr>
          <w:spacing w:val="-2"/>
          <w:sz w:val="20"/>
          <w:lang w:val="en-CA"/>
        </w:rPr>
      </w:pPr>
    </w:p>
    <w:p w14:paraId="342E1148" w14:textId="77777777" w:rsidR="002D639F" w:rsidRPr="005324ED" w:rsidRDefault="002D639F" w:rsidP="002D639F">
      <w:pPr>
        <w:autoSpaceDE w:val="0"/>
        <w:autoSpaceDN w:val="0"/>
        <w:adjustRightInd w:val="0"/>
        <w:jc w:val="both"/>
        <w:rPr>
          <w:b/>
          <w:bCs/>
          <w:spacing w:val="-2"/>
          <w:sz w:val="20"/>
          <w:lang w:val="en-CA"/>
        </w:rPr>
      </w:pPr>
      <w:r>
        <w:rPr>
          <w:b/>
          <w:bCs/>
          <w:spacing w:val="-2"/>
          <w:sz w:val="20"/>
          <w:lang w:val="en-CA"/>
        </w:rPr>
        <w:t>TOUQUOY WEST</w:t>
      </w:r>
    </w:p>
    <w:p w14:paraId="66CFE553" w14:textId="77777777" w:rsidR="00965C9A" w:rsidRDefault="00965C9A" w:rsidP="002D639F">
      <w:pPr>
        <w:autoSpaceDE w:val="0"/>
        <w:autoSpaceDN w:val="0"/>
        <w:adjustRightInd w:val="0"/>
        <w:jc w:val="both"/>
        <w:rPr>
          <w:spacing w:val="-2"/>
          <w:sz w:val="20"/>
          <w:lang w:val="en-CA"/>
        </w:rPr>
      </w:pPr>
    </w:p>
    <w:p w14:paraId="6659C933" w14:textId="77777777" w:rsidR="002D639F" w:rsidRDefault="002D639F" w:rsidP="002D639F">
      <w:pPr>
        <w:autoSpaceDE w:val="0"/>
        <w:autoSpaceDN w:val="0"/>
        <w:adjustRightInd w:val="0"/>
        <w:jc w:val="both"/>
        <w:rPr>
          <w:spacing w:val="-2"/>
          <w:sz w:val="20"/>
          <w:lang w:val="en-CA"/>
        </w:rPr>
      </w:pPr>
      <w:r w:rsidRPr="007B0E47">
        <w:rPr>
          <w:spacing w:val="-2"/>
          <w:sz w:val="20"/>
          <w:lang w:val="en-CA"/>
        </w:rPr>
        <w:t xml:space="preserve">The </w:t>
      </w:r>
      <w:proofErr w:type="spellStart"/>
      <w:r w:rsidRPr="007B0E47">
        <w:rPr>
          <w:spacing w:val="-2"/>
          <w:sz w:val="20"/>
          <w:lang w:val="en-CA"/>
        </w:rPr>
        <w:t>Touquoy</w:t>
      </w:r>
      <w:proofErr w:type="spellEnd"/>
      <w:r w:rsidRPr="007B0E47">
        <w:rPr>
          <w:spacing w:val="-2"/>
          <w:sz w:val="20"/>
          <w:lang w:val="en-CA"/>
        </w:rPr>
        <w:t xml:space="preserve"> property covers the southwest extension of the folded geological sequence that hosts the currently producing Touquoy Gold Mine operated by St. Barbara Ltd. (St Barbara) (Figure </w:t>
      </w:r>
      <w:r>
        <w:rPr>
          <w:spacing w:val="-2"/>
          <w:sz w:val="20"/>
          <w:lang w:val="en-CA"/>
        </w:rPr>
        <w:t>4</w:t>
      </w:r>
      <w:r w:rsidRPr="007B0E47">
        <w:rPr>
          <w:spacing w:val="-2"/>
          <w:sz w:val="20"/>
          <w:lang w:val="en-CA"/>
        </w:rPr>
        <w:t xml:space="preserve">). The property covers a 4.3 km strike length of excellent exploration potential along the Touquoy Gold Mine structural corridor trend immediately southwest of, and adjoining, the St. Barbara holdings.  In addition to covering the interpreted strike extension of this structural corridor’s airborne geophysical anomaly trend, the property covers approximately 5 km of strike length along St. Barbara’s southern claim boundary, south and west of the mine. The Touquoy Mine structural corridor forms part of the regionally developed Moose River-Beaverdam-Fifteen Mile Stream structural corridor that hosts St. Barbara’s Beaver Dam and Fifteen Mile Stream development projects in addition to its Touquoy Gold Mine (Figure </w:t>
      </w:r>
      <w:r>
        <w:rPr>
          <w:spacing w:val="-2"/>
          <w:sz w:val="20"/>
          <w:lang w:val="en-CA"/>
        </w:rPr>
        <w:t>4</w:t>
      </w:r>
      <w:r w:rsidRPr="007B0E47">
        <w:rPr>
          <w:spacing w:val="-2"/>
          <w:sz w:val="20"/>
          <w:lang w:val="en-CA"/>
        </w:rPr>
        <w:t xml:space="preserve">). </w:t>
      </w:r>
    </w:p>
    <w:p w14:paraId="1D88A5C3" w14:textId="77777777" w:rsidR="002D639F" w:rsidRDefault="00E16F4B" w:rsidP="002D639F">
      <w:pPr>
        <w:autoSpaceDE w:val="0"/>
        <w:autoSpaceDN w:val="0"/>
        <w:adjustRightInd w:val="0"/>
        <w:jc w:val="both"/>
        <w:rPr>
          <w:rFonts w:eastAsia="Calibri"/>
          <w:b/>
          <w:bCs/>
          <w:color w:val="000000"/>
          <w:sz w:val="20"/>
          <w:lang w:eastAsia="en-CA"/>
        </w:rPr>
      </w:pPr>
      <w:r>
        <w:rPr>
          <w:b/>
          <w:bCs/>
          <w:spacing w:val="-2"/>
          <w:sz w:val="20"/>
          <w:lang w:val="en-CA"/>
        </w:rPr>
        <w:br w:type="page"/>
      </w:r>
      <w:r w:rsidRPr="007B0E47">
        <w:rPr>
          <w:rFonts w:eastAsia="Calibri"/>
          <w:b/>
          <w:bCs/>
          <w:color w:val="000000"/>
          <w:sz w:val="20"/>
          <w:lang w:eastAsia="en-CA"/>
        </w:rPr>
        <w:lastRenderedPageBreak/>
        <w:t>EXPLORATION AND DEVELOPMENT STRATEGY (CONTINUED)</w:t>
      </w:r>
    </w:p>
    <w:p w14:paraId="1E4BE376" w14:textId="77777777" w:rsidR="00C06682" w:rsidRDefault="00C06682" w:rsidP="002D639F">
      <w:pPr>
        <w:autoSpaceDE w:val="0"/>
        <w:autoSpaceDN w:val="0"/>
        <w:adjustRightInd w:val="0"/>
        <w:jc w:val="both"/>
        <w:rPr>
          <w:rFonts w:eastAsia="Calibri"/>
          <w:b/>
          <w:bCs/>
          <w:color w:val="000000"/>
          <w:sz w:val="20"/>
          <w:lang w:eastAsia="en-CA"/>
        </w:rPr>
      </w:pPr>
    </w:p>
    <w:p w14:paraId="6061F37E" w14:textId="77777777" w:rsidR="00C06682" w:rsidRDefault="00C06682" w:rsidP="002D639F">
      <w:pPr>
        <w:autoSpaceDE w:val="0"/>
        <w:autoSpaceDN w:val="0"/>
        <w:adjustRightInd w:val="0"/>
        <w:jc w:val="both"/>
        <w:rPr>
          <w:rFonts w:eastAsia="Calibri"/>
          <w:b/>
          <w:bCs/>
          <w:color w:val="000000"/>
          <w:sz w:val="20"/>
          <w:lang w:eastAsia="en-CA"/>
        </w:rPr>
      </w:pPr>
      <w:r w:rsidRPr="00C06682">
        <w:rPr>
          <w:rFonts w:eastAsia="Calibri"/>
          <w:b/>
          <w:bCs/>
          <w:color w:val="000000"/>
          <w:sz w:val="20"/>
          <w:lang w:val="en-CA" w:eastAsia="en-CA"/>
        </w:rPr>
        <w:t>TOUQUOY WEST (CONTINUED)</w:t>
      </w:r>
    </w:p>
    <w:p w14:paraId="28C70982" w14:textId="77777777" w:rsidR="00E16F4B" w:rsidRDefault="00E16F4B" w:rsidP="002D639F">
      <w:pPr>
        <w:autoSpaceDE w:val="0"/>
        <w:autoSpaceDN w:val="0"/>
        <w:adjustRightInd w:val="0"/>
        <w:jc w:val="both"/>
        <w:rPr>
          <w:b/>
          <w:bCs/>
          <w:spacing w:val="-2"/>
          <w:sz w:val="20"/>
          <w:lang w:val="en-CA"/>
        </w:rPr>
      </w:pPr>
    </w:p>
    <w:p w14:paraId="76C486CE" w14:textId="77777777" w:rsidR="002D639F" w:rsidRPr="0040297B" w:rsidRDefault="002D639F" w:rsidP="002D639F">
      <w:pPr>
        <w:autoSpaceDE w:val="0"/>
        <w:autoSpaceDN w:val="0"/>
        <w:adjustRightInd w:val="0"/>
        <w:jc w:val="both"/>
        <w:rPr>
          <w:b/>
          <w:spacing w:val="-2"/>
          <w:sz w:val="20"/>
          <w:lang w:val="en-CA"/>
        </w:rPr>
      </w:pPr>
      <w:r w:rsidRPr="0040297B">
        <w:rPr>
          <w:b/>
          <w:bCs/>
          <w:spacing w:val="-2"/>
          <w:sz w:val="20"/>
          <w:lang w:val="en-CA"/>
        </w:rPr>
        <w:t>Figure 4</w:t>
      </w:r>
      <w:r w:rsidRPr="0040297B">
        <w:rPr>
          <w:b/>
          <w:spacing w:val="-2"/>
          <w:sz w:val="20"/>
          <w:lang w:val="en-CA"/>
        </w:rPr>
        <w:t>: MegumaGold’s Touquoy West Property holdings</w:t>
      </w:r>
    </w:p>
    <w:p w14:paraId="6C749115" w14:textId="473AFC23" w:rsidR="002D639F" w:rsidRPr="007B0E47" w:rsidRDefault="00936F3C" w:rsidP="002D639F">
      <w:pPr>
        <w:autoSpaceDE w:val="0"/>
        <w:autoSpaceDN w:val="0"/>
        <w:adjustRightInd w:val="0"/>
        <w:jc w:val="both"/>
        <w:rPr>
          <w:spacing w:val="-2"/>
          <w:sz w:val="20"/>
          <w:lang w:val="en-CA"/>
        </w:rPr>
      </w:pPr>
      <w:r>
        <w:rPr>
          <w:noProof/>
          <w:spacing w:val="-2"/>
          <w:sz w:val="20"/>
        </w:rPr>
        <w:drawing>
          <wp:inline distT="0" distB="0" distL="0" distR="0" wp14:anchorId="6064818D" wp14:editId="348E03F7">
            <wp:extent cx="4770120" cy="368490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3684905"/>
                    </a:xfrm>
                    <a:prstGeom prst="rect">
                      <a:avLst/>
                    </a:prstGeom>
                    <a:noFill/>
                    <a:ln>
                      <a:noFill/>
                    </a:ln>
                  </pic:spPr>
                </pic:pic>
              </a:graphicData>
            </a:graphic>
          </wp:inline>
        </w:drawing>
      </w:r>
    </w:p>
    <w:p w14:paraId="4EEEC365" w14:textId="77777777" w:rsidR="002D639F" w:rsidRPr="007B0E47" w:rsidRDefault="002D639F" w:rsidP="002D639F">
      <w:pPr>
        <w:autoSpaceDE w:val="0"/>
        <w:autoSpaceDN w:val="0"/>
        <w:adjustRightInd w:val="0"/>
        <w:jc w:val="both"/>
        <w:rPr>
          <w:spacing w:val="-2"/>
          <w:sz w:val="20"/>
          <w:lang w:val="en-CA"/>
        </w:rPr>
      </w:pPr>
    </w:p>
    <w:p w14:paraId="38CAE1C4" w14:textId="7A3B048D" w:rsidR="002D639F" w:rsidRDefault="002D639F" w:rsidP="002D639F">
      <w:pPr>
        <w:autoSpaceDE w:val="0"/>
        <w:autoSpaceDN w:val="0"/>
        <w:adjustRightInd w:val="0"/>
        <w:jc w:val="both"/>
        <w:rPr>
          <w:spacing w:val="-2"/>
          <w:sz w:val="20"/>
          <w:lang w:val="en-CA"/>
        </w:rPr>
      </w:pPr>
      <w:r>
        <w:rPr>
          <w:spacing w:val="-2"/>
          <w:sz w:val="20"/>
          <w:lang w:val="en-CA"/>
        </w:rPr>
        <w:t xml:space="preserve">On December 4, 2019 </w:t>
      </w:r>
      <w:r w:rsidRPr="007B0E47">
        <w:rPr>
          <w:spacing w:val="-2"/>
          <w:sz w:val="20"/>
          <w:lang w:val="en-CA"/>
        </w:rPr>
        <w:t xml:space="preserve">MegumaGold entered into an option agreement with Genius Metals Inc. ("Genius"), to acquire up to a 100% interest in 6 mineral exploration licences totalling 100 claims (1,620 Hectares) that directly </w:t>
      </w:r>
      <w:r w:rsidR="00BF0765" w:rsidRPr="007B0E47">
        <w:rPr>
          <w:spacing w:val="-2"/>
          <w:sz w:val="20"/>
          <w:lang w:val="en-CA"/>
        </w:rPr>
        <w:t>adjoin</w:t>
      </w:r>
      <w:r w:rsidR="00BF0765">
        <w:rPr>
          <w:spacing w:val="-2"/>
          <w:sz w:val="20"/>
          <w:lang w:val="en-CA"/>
        </w:rPr>
        <w:t>s</w:t>
      </w:r>
      <w:r w:rsidR="00BF0765" w:rsidRPr="007B0E47">
        <w:rPr>
          <w:spacing w:val="-2"/>
          <w:sz w:val="20"/>
          <w:lang w:val="en-CA"/>
        </w:rPr>
        <w:t xml:space="preserve"> </w:t>
      </w:r>
      <w:r w:rsidRPr="007B0E47">
        <w:rPr>
          <w:spacing w:val="-2"/>
          <w:sz w:val="20"/>
          <w:lang w:val="en-CA"/>
        </w:rPr>
        <w:t xml:space="preserve">the Touquoy West property to the west. These cover the potential far-western extension of the favourable Moose River structural corridor trend. This acquisition substantially extends the Company’s land position across an area where publicly available </w:t>
      </w:r>
      <w:r w:rsidR="00BF0765">
        <w:rPr>
          <w:spacing w:val="-2"/>
          <w:sz w:val="20"/>
          <w:lang w:val="en-CA"/>
        </w:rPr>
        <w:t>Nova Scotia</w:t>
      </w:r>
      <w:r w:rsidR="00BF0765" w:rsidRPr="007B0E47">
        <w:rPr>
          <w:spacing w:val="-2"/>
          <w:sz w:val="20"/>
          <w:lang w:val="en-CA"/>
        </w:rPr>
        <w:t xml:space="preserve"> </w:t>
      </w:r>
      <w:r w:rsidRPr="007B0E47">
        <w:rPr>
          <w:spacing w:val="-2"/>
          <w:sz w:val="20"/>
          <w:lang w:val="en-CA"/>
        </w:rPr>
        <w:t xml:space="preserve">government records define </w:t>
      </w:r>
      <w:proofErr w:type="gramStart"/>
      <w:r w:rsidRPr="007B0E47">
        <w:rPr>
          <w:spacing w:val="-2"/>
          <w:sz w:val="20"/>
          <w:lang w:val="en-CA"/>
        </w:rPr>
        <w:t>several gold in till geochemical anomalies plus airborne magnetometer survey anomalies of exploration interest</w:t>
      </w:r>
      <w:proofErr w:type="gramEnd"/>
      <w:r w:rsidRPr="007B0E47">
        <w:rPr>
          <w:spacing w:val="-2"/>
          <w:sz w:val="20"/>
          <w:lang w:val="en-CA"/>
        </w:rPr>
        <w:t xml:space="preserve">.     </w:t>
      </w:r>
    </w:p>
    <w:p w14:paraId="5A440181" w14:textId="77777777" w:rsidR="002D639F" w:rsidRPr="007B0E47" w:rsidRDefault="002D639F" w:rsidP="002D639F">
      <w:pPr>
        <w:autoSpaceDE w:val="0"/>
        <w:autoSpaceDN w:val="0"/>
        <w:adjustRightInd w:val="0"/>
        <w:jc w:val="both"/>
        <w:rPr>
          <w:spacing w:val="-2"/>
          <w:sz w:val="20"/>
          <w:lang w:val="en-CA"/>
        </w:rPr>
      </w:pPr>
      <w:r w:rsidRPr="007B0E47">
        <w:rPr>
          <w:spacing w:val="-2"/>
          <w:sz w:val="20"/>
          <w:lang w:val="en-CA"/>
        </w:rPr>
        <w:t xml:space="preserve"> </w:t>
      </w:r>
    </w:p>
    <w:p w14:paraId="7DFAA1E1" w14:textId="77777777" w:rsidR="002D639F" w:rsidRPr="007B0E47" w:rsidRDefault="002D639F" w:rsidP="002D639F">
      <w:pPr>
        <w:autoSpaceDE w:val="0"/>
        <w:autoSpaceDN w:val="0"/>
        <w:adjustRightInd w:val="0"/>
        <w:jc w:val="both"/>
        <w:rPr>
          <w:spacing w:val="-2"/>
          <w:sz w:val="20"/>
          <w:lang w:val="en-CA"/>
        </w:rPr>
      </w:pPr>
      <w:r w:rsidRPr="007B0E47">
        <w:rPr>
          <w:spacing w:val="-2"/>
          <w:sz w:val="20"/>
          <w:lang w:val="en-CA"/>
        </w:rPr>
        <w:t>MegumaGold’s work to date on the Touquoy West property itself includes evaluation and compilation of all historic assessment work reporting plus completion of airborne and ground magnetometer surveys, a very low frequency electromagnetic (VLF-EM) ground survey, a limited till geochemistry survey</w:t>
      </w:r>
      <w:r w:rsidR="00AE700F">
        <w:rPr>
          <w:spacing w:val="-2"/>
          <w:sz w:val="20"/>
          <w:lang w:val="en-CA"/>
        </w:rPr>
        <w:t>,</w:t>
      </w:r>
      <w:r w:rsidRPr="007B0E47">
        <w:rPr>
          <w:spacing w:val="-2"/>
          <w:sz w:val="20"/>
          <w:lang w:val="en-CA"/>
        </w:rPr>
        <w:t xml:space="preserve"> a large </w:t>
      </w:r>
      <w:proofErr w:type="spellStart"/>
      <w:r w:rsidRPr="007B0E47">
        <w:rPr>
          <w:spacing w:val="-2"/>
          <w:sz w:val="20"/>
          <w:lang w:val="en-CA"/>
        </w:rPr>
        <w:t>b-horizon</w:t>
      </w:r>
      <w:proofErr w:type="spellEnd"/>
      <w:r w:rsidRPr="007B0E47">
        <w:rPr>
          <w:spacing w:val="-2"/>
          <w:sz w:val="20"/>
          <w:lang w:val="en-CA"/>
        </w:rPr>
        <w:t xml:space="preserve"> soil geochemistry survey</w:t>
      </w:r>
      <w:r w:rsidR="00AE700F">
        <w:rPr>
          <w:spacing w:val="-2"/>
          <w:sz w:val="20"/>
          <w:lang w:val="en-CA"/>
        </w:rPr>
        <w:t xml:space="preserve"> and 25.83 line kilometers</w:t>
      </w:r>
      <w:r w:rsidRPr="007B0E47">
        <w:rPr>
          <w:spacing w:val="-2"/>
          <w:sz w:val="20"/>
          <w:lang w:val="en-CA"/>
        </w:rPr>
        <w:t xml:space="preserve"> </w:t>
      </w:r>
      <w:r w:rsidR="00AE700F">
        <w:rPr>
          <w:spacing w:val="-2"/>
          <w:sz w:val="20"/>
          <w:lang w:val="en-CA"/>
        </w:rPr>
        <w:t xml:space="preserve">of Induced Polarization (IP) surveying. </w:t>
      </w:r>
      <w:r w:rsidRPr="007B0E47">
        <w:rPr>
          <w:spacing w:val="-2"/>
          <w:sz w:val="20"/>
          <w:lang w:val="en-CA"/>
        </w:rPr>
        <w:t>Combined results of these programs define three high priority target areas on the Touquoy West property</w:t>
      </w:r>
      <w:r w:rsidR="00AE700F">
        <w:rPr>
          <w:spacing w:val="-2"/>
          <w:sz w:val="20"/>
          <w:lang w:val="en-CA"/>
        </w:rPr>
        <w:t>.</w:t>
      </w:r>
      <w:r w:rsidRPr="007B0E47">
        <w:rPr>
          <w:spacing w:val="-2"/>
          <w:sz w:val="20"/>
          <w:lang w:val="en-CA"/>
        </w:rPr>
        <w:t xml:space="preserve"> </w:t>
      </w:r>
    </w:p>
    <w:p w14:paraId="132123C9" w14:textId="77777777" w:rsidR="002D639F" w:rsidRPr="007B0E47" w:rsidRDefault="002D639F" w:rsidP="002D639F">
      <w:pPr>
        <w:autoSpaceDE w:val="0"/>
        <w:autoSpaceDN w:val="0"/>
        <w:adjustRightInd w:val="0"/>
        <w:jc w:val="both"/>
        <w:rPr>
          <w:b/>
          <w:bCs/>
          <w:spacing w:val="-2"/>
          <w:sz w:val="20"/>
          <w:lang w:val="en-CA"/>
        </w:rPr>
      </w:pPr>
    </w:p>
    <w:p w14:paraId="796690FC" w14:textId="77777777" w:rsidR="002D639F" w:rsidRDefault="002D639F" w:rsidP="002D639F">
      <w:pPr>
        <w:autoSpaceDE w:val="0"/>
        <w:autoSpaceDN w:val="0"/>
        <w:adjustRightInd w:val="0"/>
        <w:jc w:val="both"/>
        <w:rPr>
          <w:spacing w:val="-2"/>
          <w:sz w:val="20"/>
          <w:lang w:val="en-CA"/>
        </w:rPr>
      </w:pPr>
      <w:r w:rsidRPr="007B0E47">
        <w:rPr>
          <w:spacing w:val="-2"/>
          <w:sz w:val="20"/>
          <w:lang w:val="en-CA"/>
        </w:rPr>
        <w:t xml:space="preserve">In 2018, MegumaGold flew an airborne magnetometer and radiometrics survey over the Touquoy West property to identify potential target areas for gold exploration. This data was merged with airborne magnetometer survey results published by the Nova Scotia Department of Natural Resources in 2006 to define the extent and character of </w:t>
      </w:r>
      <w:r>
        <w:rPr>
          <w:spacing w:val="-2"/>
          <w:sz w:val="20"/>
          <w:lang w:val="en-CA"/>
        </w:rPr>
        <w:t>A</w:t>
      </w:r>
      <w:r w:rsidRPr="007B0E47">
        <w:rPr>
          <w:spacing w:val="-2"/>
          <w:sz w:val="20"/>
          <w:lang w:val="en-CA"/>
        </w:rPr>
        <w:t xml:space="preserve">nomalies that extend from the Touquoy Gold Mine area continuously southwestward onto the Touquoy West property (Figure </w:t>
      </w:r>
      <w:r w:rsidR="007E224C">
        <w:rPr>
          <w:spacing w:val="-2"/>
          <w:sz w:val="20"/>
          <w:lang w:val="en-CA"/>
        </w:rPr>
        <w:t>4</w:t>
      </w:r>
      <w:r w:rsidRPr="007B0E47">
        <w:rPr>
          <w:spacing w:val="-2"/>
          <w:sz w:val="20"/>
          <w:lang w:val="en-CA"/>
        </w:rPr>
        <w:t xml:space="preserve">). MegumaGold interprets these as coinciding with the location of the highly favourable structural corridor and associated argillite-rich stratigraphy that includes the host sequence to the Touquoy Gold Mine deposit. The magnetic field anomaly trend is broadly coincident with VLF-EM anomalies defined through MegumaGold’s compilation studies of historic exploration results. The VLF-EM anomalies discontinuously parallel the axis of the main airborne magnetometer survey trend that extends southwest from the St. Barbara property onto the Touquoy West property. In combination with the airborne magnetic survey results, the VLF-EM features are interpreted as indicating potential for local presence of favourably folded and sheared argillite sequences that may be similar to those that host the Touquoy </w:t>
      </w:r>
    </w:p>
    <w:p w14:paraId="6ED511E0" w14:textId="77777777" w:rsidR="002D639F" w:rsidRDefault="002D639F" w:rsidP="002D639F">
      <w:pPr>
        <w:autoSpaceDE w:val="0"/>
        <w:autoSpaceDN w:val="0"/>
        <w:adjustRightInd w:val="0"/>
        <w:jc w:val="both"/>
        <w:rPr>
          <w:b/>
          <w:bCs/>
          <w:spacing w:val="-2"/>
          <w:sz w:val="20"/>
        </w:rPr>
      </w:pPr>
      <w:r w:rsidRPr="007B0E47">
        <w:rPr>
          <w:spacing w:val="-2"/>
          <w:sz w:val="20"/>
          <w:lang w:val="en-CA"/>
        </w:rPr>
        <w:lastRenderedPageBreak/>
        <w:t xml:space="preserve"> </w:t>
      </w:r>
      <w:r w:rsidR="00E16F4B" w:rsidRPr="0058706D">
        <w:rPr>
          <w:b/>
          <w:bCs/>
          <w:spacing w:val="-2"/>
          <w:sz w:val="20"/>
        </w:rPr>
        <w:t xml:space="preserve">EXPLORATION AND DEVELOPMENT </w:t>
      </w:r>
      <w:proofErr w:type="gramStart"/>
      <w:r w:rsidR="00E16F4B" w:rsidRPr="0058706D">
        <w:rPr>
          <w:b/>
          <w:bCs/>
          <w:spacing w:val="-2"/>
          <w:sz w:val="20"/>
        </w:rPr>
        <w:t>STRATEGY(</w:t>
      </w:r>
      <w:proofErr w:type="gramEnd"/>
      <w:r w:rsidR="00E16F4B" w:rsidRPr="0058706D">
        <w:rPr>
          <w:b/>
          <w:bCs/>
          <w:spacing w:val="-2"/>
          <w:sz w:val="20"/>
        </w:rPr>
        <w:t>CONTINUED)</w:t>
      </w:r>
    </w:p>
    <w:p w14:paraId="7F1BA1CD" w14:textId="77777777" w:rsidR="00E16F4B" w:rsidRDefault="00E16F4B" w:rsidP="002D639F">
      <w:pPr>
        <w:autoSpaceDE w:val="0"/>
        <w:autoSpaceDN w:val="0"/>
        <w:adjustRightInd w:val="0"/>
        <w:jc w:val="both"/>
        <w:rPr>
          <w:spacing w:val="-2"/>
          <w:sz w:val="20"/>
          <w:lang w:val="en-CA"/>
        </w:rPr>
      </w:pPr>
    </w:p>
    <w:p w14:paraId="621B372C" w14:textId="77777777" w:rsidR="00E16F4B" w:rsidRDefault="00E16F4B" w:rsidP="00E16F4B">
      <w:pPr>
        <w:autoSpaceDE w:val="0"/>
        <w:autoSpaceDN w:val="0"/>
        <w:adjustRightInd w:val="0"/>
        <w:jc w:val="both"/>
        <w:rPr>
          <w:b/>
          <w:bCs/>
          <w:spacing w:val="-2"/>
          <w:sz w:val="20"/>
          <w:lang w:val="en-CA"/>
        </w:rPr>
      </w:pPr>
      <w:r>
        <w:rPr>
          <w:b/>
          <w:bCs/>
          <w:spacing w:val="-2"/>
          <w:sz w:val="20"/>
          <w:lang w:val="en-CA"/>
        </w:rPr>
        <w:t>TOUQUOY WEST (CONTINUED)</w:t>
      </w:r>
    </w:p>
    <w:p w14:paraId="49207D02" w14:textId="77777777" w:rsidR="007E224C" w:rsidRDefault="007E224C" w:rsidP="00E16F4B">
      <w:pPr>
        <w:autoSpaceDE w:val="0"/>
        <w:autoSpaceDN w:val="0"/>
        <w:adjustRightInd w:val="0"/>
        <w:jc w:val="both"/>
        <w:rPr>
          <w:b/>
          <w:bCs/>
          <w:spacing w:val="-2"/>
          <w:sz w:val="20"/>
          <w:lang w:val="en-CA"/>
        </w:rPr>
      </w:pPr>
    </w:p>
    <w:p w14:paraId="7E689063" w14:textId="77777777" w:rsidR="007E224C" w:rsidRPr="007E224C" w:rsidRDefault="007E224C" w:rsidP="007E224C">
      <w:pPr>
        <w:autoSpaceDE w:val="0"/>
        <w:autoSpaceDN w:val="0"/>
        <w:adjustRightInd w:val="0"/>
        <w:jc w:val="both"/>
        <w:rPr>
          <w:spacing w:val="-2"/>
          <w:sz w:val="20"/>
          <w:lang w:val="en-CA"/>
        </w:rPr>
      </w:pPr>
      <w:proofErr w:type="gramStart"/>
      <w:r w:rsidRPr="007E224C">
        <w:rPr>
          <w:spacing w:val="-2"/>
          <w:sz w:val="20"/>
          <w:lang w:val="en-CA"/>
        </w:rPr>
        <w:t>Gold Mine.</w:t>
      </w:r>
      <w:proofErr w:type="gramEnd"/>
      <w:r w:rsidRPr="007E224C">
        <w:rPr>
          <w:spacing w:val="-2"/>
          <w:sz w:val="20"/>
          <w:lang w:val="en-CA"/>
        </w:rPr>
        <w:t xml:space="preserve"> </w:t>
      </w:r>
    </w:p>
    <w:p w14:paraId="0C781DEE" w14:textId="77777777" w:rsidR="007E224C" w:rsidRPr="005324ED" w:rsidRDefault="007E224C" w:rsidP="00E16F4B">
      <w:pPr>
        <w:autoSpaceDE w:val="0"/>
        <w:autoSpaceDN w:val="0"/>
        <w:adjustRightInd w:val="0"/>
        <w:jc w:val="both"/>
        <w:rPr>
          <w:b/>
          <w:bCs/>
          <w:spacing w:val="-2"/>
          <w:sz w:val="20"/>
          <w:lang w:val="en-CA"/>
        </w:rPr>
      </w:pPr>
    </w:p>
    <w:p w14:paraId="7720DF97" w14:textId="77777777" w:rsidR="002D639F" w:rsidRDefault="002D639F" w:rsidP="002D639F">
      <w:pPr>
        <w:autoSpaceDE w:val="0"/>
        <w:autoSpaceDN w:val="0"/>
        <w:adjustRightInd w:val="0"/>
        <w:jc w:val="both"/>
        <w:rPr>
          <w:spacing w:val="-2"/>
          <w:sz w:val="20"/>
          <w:lang w:val="en-CA"/>
        </w:rPr>
      </w:pPr>
      <w:r w:rsidRPr="007B0E47">
        <w:rPr>
          <w:spacing w:val="-2"/>
          <w:sz w:val="20"/>
          <w:lang w:val="en-CA"/>
        </w:rPr>
        <w:t>The Touquoy West property has seen surprisingly little exploration to date. Notably, heavy mineral concentrates from six till samples collected on the property within 200 m of the St. Barbara boundary by Acadian Gold Ltd. returned visible gold grains (1 or 2 grains per sample – AR ME 2007-178). An earlier till geochemistry program carried out by Seabright Exploration Inc. (Seabright) in 1987 returned gold values in heavy mineral concentrate (HMC) samples from the property that range between the 2.5 parts per billion (ppb) gold detection limit and 3350 ppb (ME1994-021-1994). One multi-sample grouping of anomalous HMC results defines a target area measuring approximately 500 m in length by 250 m in width. This area remains open in all directions at present and no government records of detailed follow-up were found. The Company’s analysis of the airborne magnetometer survey datasets has also defined potential for presence of gold-mineralized secondary fold structures that parallel the main Touquoy Gold Mine structural corridor.</w:t>
      </w:r>
    </w:p>
    <w:p w14:paraId="432EA389" w14:textId="77777777" w:rsidR="002D639F" w:rsidRDefault="002D639F" w:rsidP="002D639F">
      <w:pPr>
        <w:autoSpaceDE w:val="0"/>
        <w:autoSpaceDN w:val="0"/>
        <w:adjustRightInd w:val="0"/>
        <w:jc w:val="both"/>
        <w:rPr>
          <w:spacing w:val="-2"/>
          <w:sz w:val="20"/>
          <w:lang w:val="en-CA"/>
        </w:rPr>
      </w:pPr>
    </w:p>
    <w:p w14:paraId="6F448606" w14:textId="77777777" w:rsidR="002D639F" w:rsidRDefault="002D639F" w:rsidP="002D639F">
      <w:pPr>
        <w:autoSpaceDE w:val="0"/>
        <w:autoSpaceDN w:val="0"/>
        <w:adjustRightInd w:val="0"/>
        <w:jc w:val="both"/>
        <w:rPr>
          <w:spacing w:val="-2"/>
          <w:sz w:val="20"/>
          <w:lang w:val="en-CA"/>
        </w:rPr>
      </w:pPr>
      <w:r w:rsidRPr="007B0E47">
        <w:rPr>
          <w:spacing w:val="-2"/>
          <w:sz w:val="20"/>
          <w:lang w:val="en-CA"/>
        </w:rPr>
        <w:t>Historic core drilling by Seabright Exploration Inc. from a site on the Company’s claims in this area (Drill hole MR-87143: AR ME 88-178) encountered a thick, gold-anomalous sulphide-rich, argillite-bearing succession at a vertical depth of approximately 240 m below surface.  This section is interpreted as being representative of the favourable stratigraphic sequence present along the Touquoy.</w:t>
      </w:r>
    </w:p>
    <w:p w14:paraId="32D68A6B" w14:textId="77777777" w:rsidR="002D639F" w:rsidRDefault="002D639F" w:rsidP="002D639F">
      <w:pPr>
        <w:autoSpaceDE w:val="0"/>
        <w:autoSpaceDN w:val="0"/>
        <w:adjustRightInd w:val="0"/>
        <w:jc w:val="both"/>
        <w:rPr>
          <w:b/>
          <w:bCs/>
          <w:spacing w:val="-2"/>
          <w:sz w:val="20"/>
          <w:lang w:val="en-CA"/>
        </w:rPr>
      </w:pPr>
    </w:p>
    <w:p w14:paraId="6B88F69F" w14:textId="77777777" w:rsidR="002D639F" w:rsidRPr="007B0E47" w:rsidRDefault="002D639F" w:rsidP="002D639F">
      <w:pPr>
        <w:autoSpaceDE w:val="0"/>
        <w:autoSpaceDN w:val="0"/>
        <w:adjustRightInd w:val="0"/>
        <w:jc w:val="both"/>
        <w:rPr>
          <w:spacing w:val="-2"/>
          <w:sz w:val="20"/>
          <w:lang w:val="en-CA"/>
        </w:rPr>
      </w:pPr>
      <w:r w:rsidRPr="007B0E47">
        <w:rPr>
          <w:b/>
          <w:bCs/>
          <w:spacing w:val="-2"/>
          <w:sz w:val="20"/>
          <w:lang w:val="en-CA"/>
        </w:rPr>
        <w:t xml:space="preserve">Figure </w:t>
      </w:r>
      <w:r>
        <w:rPr>
          <w:b/>
          <w:bCs/>
          <w:spacing w:val="-2"/>
          <w:sz w:val="20"/>
          <w:lang w:val="en-CA"/>
        </w:rPr>
        <w:t>5</w:t>
      </w:r>
      <w:r w:rsidRPr="007B0E47">
        <w:rPr>
          <w:spacing w:val="-2"/>
          <w:sz w:val="20"/>
          <w:lang w:val="en-CA"/>
        </w:rPr>
        <w:t>: Results of the 2019 B-Horizon Soil Survey on MegumaGold’s Touquoy West Property</w:t>
      </w:r>
    </w:p>
    <w:p w14:paraId="006A241B" w14:textId="77777777" w:rsidR="002D639F" w:rsidRPr="007B0E47" w:rsidRDefault="002D639F" w:rsidP="002D639F">
      <w:pPr>
        <w:autoSpaceDE w:val="0"/>
        <w:autoSpaceDN w:val="0"/>
        <w:adjustRightInd w:val="0"/>
        <w:jc w:val="both"/>
        <w:rPr>
          <w:spacing w:val="-2"/>
          <w:sz w:val="20"/>
          <w:lang w:val="en-CA"/>
        </w:rPr>
      </w:pPr>
    </w:p>
    <w:p w14:paraId="02F7DA7B" w14:textId="3ED4EF7C" w:rsidR="002D639F" w:rsidRPr="007B0E47" w:rsidRDefault="00936F3C" w:rsidP="002D639F">
      <w:pPr>
        <w:autoSpaceDE w:val="0"/>
        <w:autoSpaceDN w:val="0"/>
        <w:adjustRightInd w:val="0"/>
        <w:jc w:val="both"/>
        <w:rPr>
          <w:spacing w:val="-2"/>
          <w:sz w:val="20"/>
          <w:lang w:val="en-CA"/>
        </w:rPr>
      </w:pPr>
      <w:r>
        <w:rPr>
          <w:noProof/>
          <w:spacing w:val="-2"/>
          <w:sz w:val="20"/>
        </w:rPr>
        <w:drawing>
          <wp:inline distT="0" distB="0" distL="0" distR="0" wp14:anchorId="0ACAE806" wp14:editId="6EBC09E8">
            <wp:extent cx="5111115" cy="395097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115" cy="3950970"/>
                    </a:xfrm>
                    <a:prstGeom prst="rect">
                      <a:avLst/>
                    </a:prstGeom>
                    <a:noFill/>
                    <a:ln>
                      <a:noFill/>
                    </a:ln>
                  </pic:spPr>
                </pic:pic>
              </a:graphicData>
            </a:graphic>
          </wp:inline>
        </w:drawing>
      </w:r>
    </w:p>
    <w:p w14:paraId="79855CC6" w14:textId="77777777" w:rsidR="002D639F" w:rsidRDefault="002D639F" w:rsidP="002D639F">
      <w:pPr>
        <w:autoSpaceDE w:val="0"/>
        <w:autoSpaceDN w:val="0"/>
        <w:adjustRightInd w:val="0"/>
        <w:jc w:val="both"/>
        <w:rPr>
          <w:spacing w:val="-2"/>
          <w:sz w:val="20"/>
          <w:lang w:val="en-CA"/>
        </w:rPr>
      </w:pPr>
    </w:p>
    <w:p w14:paraId="0C451732" w14:textId="0D854A6B" w:rsidR="007E224C" w:rsidRDefault="002D639F" w:rsidP="002D639F">
      <w:pPr>
        <w:autoSpaceDE w:val="0"/>
        <w:autoSpaceDN w:val="0"/>
        <w:adjustRightInd w:val="0"/>
        <w:jc w:val="both"/>
        <w:rPr>
          <w:spacing w:val="-2"/>
          <w:sz w:val="20"/>
          <w:lang w:val="en-CA"/>
        </w:rPr>
      </w:pPr>
      <w:proofErr w:type="gramStart"/>
      <w:r w:rsidRPr="007B0E47">
        <w:rPr>
          <w:spacing w:val="-2"/>
          <w:sz w:val="20"/>
          <w:lang w:val="en-CA"/>
        </w:rPr>
        <w:t>Gold Mine structural corridor on the adjacent St. Barbara property.</w:t>
      </w:r>
      <w:proofErr w:type="gramEnd"/>
      <w:r w:rsidRPr="007B0E47">
        <w:rPr>
          <w:spacing w:val="-2"/>
          <w:sz w:val="20"/>
          <w:lang w:val="en-CA"/>
        </w:rPr>
        <w:t xml:space="preserve"> </w:t>
      </w:r>
      <w:r w:rsidR="00BF0765" w:rsidRPr="00BF0765">
        <w:rPr>
          <w:spacing w:val="-2"/>
          <w:sz w:val="20"/>
          <w:lang w:val="en-CA"/>
        </w:rPr>
        <w:t xml:space="preserve">Drill </w:t>
      </w:r>
      <w:proofErr w:type="gramStart"/>
      <w:r w:rsidR="00BF0765" w:rsidRPr="00BF0765">
        <w:rPr>
          <w:spacing w:val="-2"/>
          <w:sz w:val="20"/>
          <w:lang w:val="en-CA"/>
        </w:rPr>
        <w:t>hole</w:t>
      </w:r>
      <w:proofErr w:type="gramEnd"/>
      <w:r w:rsidR="00BF0765" w:rsidRPr="00BF0765">
        <w:rPr>
          <w:spacing w:val="-2"/>
          <w:sz w:val="20"/>
          <w:lang w:val="en-CA"/>
        </w:rPr>
        <w:t xml:space="preserve"> MR-87143</w:t>
      </w:r>
      <w:r w:rsidR="00BF0765">
        <w:rPr>
          <w:spacing w:val="-2"/>
          <w:sz w:val="20"/>
          <w:lang w:val="en-CA"/>
        </w:rPr>
        <w:t xml:space="preserve"> </w:t>
      </w:r>
      <w:r w:rsidRPr="007B0E47">
        <w:rPr>
          <w:spacing w:val="-2"/>
          <w:sz w:val="20"/>
          <w:lang w:val="en-CA"/>
        </w:rPr>
        <w:t xml:space="preserve">passes from MegumaGold claims onto St. Barbara holdings at depth, where the locally gold-anomalous sequence containing dark grey to black, sulphide-bearing argillite units interbedded with greywacke occurs over a cored interval of at least 180m, beginning at a downhole depth of approximately 320 m. This favourable unit is interpreted to dip southward, off of the St. Barbara </w:t>
      </w:r>
    </w:p>
    <w:p w14:paraId="51979CAC" w14:textId="77777777" w:rsidR="007E224C" w:rsidRPr="007E224C" w:rsidRDefault="007E224C" w:rsidP="007E224C">
      <w:pPr>
        <w:autoSpaceDE w:val="0"/>
        <w:autoSpaceDN w:val="0"/>
        <w:adjustRightInd w:val="0"/>
        <w:jc w:val="both"/>
        <w:rPr>
          <w:b/>
          <w:bCs/>
          <w:spacing w:val="-2"/>
          <w:sz w:val="20"/>
        </w:rPr>
      </w:pPr>
      <w:r w:rsidRPr="007E224C">
        <w:rPr>
          <w:b/>
          <w:bCs/>
          <w:spacing w:val="-2"/>
          <w:sz w:val="20"/>
        </w:rPr>
        <w:lastRenderedPageBreak/>
        <w:t xml:space="preserve">EXPLORATION AND DEVELOPMENT </w:t>
      </w:r>
      <w:proofErr w:type="gramStart"/>
      <w:r w:rsidRPr="007E224C">
        <w:rPr>
          <w:b/>
          <w:bCs/>
          <w:spacing w:val="-2"/>
          <w:sz w:val="20"/>
        </w:rPr>
        <w:t>STRATEGY(</w:t>
      </w:r>
      <w:proofErr w:type="gramEnd"/>
      <w:r w:rsidRPr="007E224C">
        <w:rPr>
          <w:b/>
          <w:bCs/>
          <w:spacing w:val="-2"/>
          <w:sz w:val="20"/>
        </w:rPr>
        <w:t>CONTINUED)</w:t>
      </w:r>
    </w:p>
    <w:p w14:paraId="40626593" w14:textId="77777777" w:rsidR="007E224C" w:rsidRPr="007E224C" w:rsidRDefault="007E224C" w:rsidP="007E224C">
      <w:pPr>
        <w:autoSpaceDE w:val="0"/>
        <w:autoSpaceDN w:val="0"/>
        <w:adjustRightInd w:val="0"/>
        <w:jc w:val="both"/>
        <w:rPr>
          <w:spacing w:val="-2"/>
          <w:sz w:val="20"/>
          <w:lang w:val="en-CA"/>
        </w:rPr>
      </w:pPr>
    </w:p>
    <w:p w14:paraId="19DF923E" w14:textId="77777777" w:rsidR="007E224C" w:rsidRPr="007E224C" w:rsidRDefault="007E224C" w:rsidP="007E224C">
      <w:pPr>
        <w:autoSpaceDE w:val="0"/>
        <w:autoSpaceDN w:val="0"/>
        <w:adjustRightInd w:val="0"/>
        <w:jc w:val="both"/>
        <w:rPr>
          <w:b/>
          <w:bCs/>
          <w:spacing w:val="-2"/>
          <w:sz w:val="20"/>
          <w:lang w:val="en-CA"/>
        </w:rPr>
      </w:pPr>
      <w:r w:rsidRPr="007E224C">
        <w:rPr>
          <w:b/>
          <w:bCs/>
          <w:spacing w:val="-2"/>
          <w:sz w:val="20"/>
          <w:lang w:val="en-CA"/>
        </w:rPr>
        <w:t>TOUQUOY WEST (CONTINUED)</w:t>
      </w:r>
    </w:p>
    <w:p w14:paraId="30FA2632" w14:textId="77777777" w:rsidR="007E224C" w:rsidRDefault="007E224C" w:rsidP="002D639F">
      <w:pPr>
        <w:autoSpaceDE w:val="0"/>
        <w:autoSpaceDN w:val="0"/>
        <w:adjustRightInd w:val="0"/>
        <w:jc w:val="both"/>
        <w:rPr>
          <w:spacing w:val="-2"/>
          <w:sz w:val="20"/>
          <w:lang w:val="en-CA"/>
        </w:rPr>
      </w:pPr>
    </w:p>
    <w:p w14:paraId="0798258F" w14:textId="77777777" w:rsidR="002D639F" w:rsidRDefault="002D639F" w:rsidP="002D639F">
      <w:pPr>
        <w:autoSpaceDE w:val="0"/>
        <w:autoSpaceDN w:val="0"/>
        <w:adjustRightInd w:val="0"/>
        <w:jc w:val="both"/>
        <w:rPr>
          <w:spacing w:val="-2"/>
          <w:sz w:val="20"/>
          <w:lang w:val="en-CA"/>
        </w:rPr>
      </w:pPr>
      <w:proofErr w:type="gramStart"/>
      <w:r w:rsidRPr="007B0E47">
        <w:rPr>
          <w:spacing w:val="-2"/>
          <w:sz w:val="20"/>
          <w:lang w:val="en-CA"/>
        </w:rPr>
        <w:t>holding</w:t>
      </w:r>
      <w:proofErr w:type="gramEnd"/>
      <w:r w:rsidRPr="007B0E47">
        <w:rPr>
          <w:spacing w:val="-2"/>
          <w:sz w:val="20"/>
          <w:lang w:val="en-CA"/>
        </w:rPr>
        <w:t>, and onto the Touquoy West property at depth, and to also extend continuously southwestward along-strike onto the Touquoy West property at nearer-surface elevations.</w:t>
      </w:r>
    </w:p>
    <w:p w14:paraId="72E586CF" w14:textId="77777777" w:rsidR="00817810" w:rsidRPr="007B0E47" w:rsidRDefault="00817810" w:rsidP="002D639F">
      <w:pPr>
        <w:autoSpaceDE w:val="0"/>
        <w:autoSpaceDN w:val="0"/>
        <w:adjustRightInd w:val="0"/>
        <w:jc w:val="both"/>
        <w:rPr>
          <w:spacing w:val="-2"/>
          <w:sz w:val="20"/>
          <w:lang w:val="en-CA"/>
        </w:rPr>
      </w:pPr>
    </w:p>
    <w:p w14:paraId="6A71A550" w14:textId="77777777" w:rsidR="002D639F" w:rsidRDefault="002D639F" w:rsidP="002D639F">
      <w:pPr>
        <w:autoSpaceDE w:val="0"/>
        <w:autoSpaceDN w:val="0"/>
        <w:adjustRightInd w:val="0"/>
        <w:jc w:val="both"/>
        <w:rPr>
          <w:spacing w:val="-2"/>
          <w:sz w:val="20"/>
          <w:lang w:val="en-CA"/>
        </w:rPr>
      </w:pPr>
      <w:r>
        <w:rPr>
          <w:spacing w:val="-2"/>
          <w:sz w:val="20"/>
          <w:lang w:val="en-CA"/>
        </w:rPr>
        <w:t xml:space="preserve">In October of 2019 </w:t>
      </w:r>
      <w:r w:rsidRPr="007B0E47">
        <w:rPr>
          <w:spacing w:val="-2"/>
          <w:sz w:val="20"/>
          <w:lang w:val="en-CA"/>
        </w:rPr>
        <w:t xml:space="preserve">MegumaGold launched an aggressive ground exploration program on the Touquoy West property. Initial work included completion of approximately 75 km of grid-based ground geophysical and B-Horizon soil geochemistry surveying. In addition, induced polarization (IP) surveying was initiated over the core airborne anomaly trend that extends onto the property from the adjacent St. Barbara holding. </w:t>
      </w:r>
    </w:p>
    <w:p w14:paraId="24DFE07B" w14:textId="77777777" w:rsidR="002D639F" w:rsidRPr="007B0E47" w:rsidRDefault="002D639F" w:rsidP="002D639F">
      <w:pPr>
        <w:autoSpaceDE w:val="0"/>
        <w:autoSpaceDN w:val="0"/>
        <w:adjustRightInd w:val="0"/>
        <w:jc w:val="both"/>
        <w:rPr>
          <w:spacing w:val="-2"/>
          <w:sz w:val="20"/>
          <w:lang w:val="en-CA"/>
        </w:rPr>
      </w:pPr>
    </w:p>
    <w:p w14:paraId="3BB3902C" w14:textId="77777777" w:rsidR="002D639F" w:rsidRDefault="002D639F" w:rsidP="002D639F">
      <w:pPr>
        <w:autoSpaceDE w:val="0"/>
        <w:autoSpaceDN w:val="0"/>
        <w:adjustRightInd w:val="0"/>
        <w:jc w:val="both"/>
        <w:rPr>
          <w:spacing w:val="-2"/>
          <w:sz w:val="20"/>
          <w:lang w:val="en-CA"/>
        </w:rPr>
      </w:pPr>
      <w:r w:rsidRPr="007B0E47">
        <w:rPr>
          <w:spacing w:val="-2"/>
          <w:sz w:val="20"/>
          <w:lang w:val="en-CA"/>
        </w:rPr>
        <w:t xml:space="preserve">The Touquoy West B-Horizon soil survey consists of 1062 soil samples collected during September and October of 2019 that were submitted for gold and multi-element analysis at Eastern Analytical Ltd. in Springdale, NL. Soil samples were collected along a grid measuring approximately 5.5 km in northeast extent, parallel to the underlying airborne magnetometer survey anomaly noted above, and from 0.1 to 1.5 km in northwest-southeast dimension, depending upon survey line location (Figure </w:t>
      </w:r>
      <w:r>
        <w:rPr>
          <w:spacing w:val="-2"/>
          <w:sz w:val="20"/>
          <w:lang w:val="en-CA"/>
        </w:rPr>
        <w:t>5</w:t>
      </w:r>
      <w:r w:rsidRPr="007B0E47">
        <w:rPr>
          <w:spacing w:val="-2"/>
          <w:sz w:val="20"/>
          <w:lang w:val="en-CA"/>
        </w:rPr>
        <w:t xml:space="preserve">). The purpose of the soil geochemistry survey is to identify low level gold and arsenic anomalies present in soil that may be indicative of local bedrock gold mineralization along the favourable structural corridor that crosses the property. </w:t>
      </w:r>
    </w:p>
    <w:p w14:paraId="72AEB861" w14:textId="77777777" w:rsidR="002D639F" w:rsidRPr="007B0E47" w:rsidRDefault="002D639F" w:rsidP="002D639F">
      <w:pPr>
        <w:autoSpaceDE w:val="0"/>
        <w:autoSpaceDN w:val="0"/>
        <w:adjustRightInd w:val="0"/>
        <w:jc w:val="both"/>
        <w:rPr>
          <w:spacing w:val="-2"/>
          <w:sz w:val="20"/>
          <w:lang w:val="en-CA"/>
        </w:rPr>
      </w:pPr>
    </w:p>
    <w:p w14:paraId="33E45D9F" w14:textId="77777777" w:rsidR="002D639F" w:rsidRDefault="002D639F" w:rsidP="002D639F">
      <w:pPr>
        <w:autoSpaceDE w:val="0"/>
        <w:autoSpaceDN w:val="0"/>
        <w:adjustRightInd w:val="0"/>
        <w:jc w:val="both"/>
        <w:rPr>
          <w:spacing w:val="-2"/>
          <w:sz w:val="20"/>
          <w:lang w:val="en-CA"/>
        </w:rPr>
      </w:pPr>
      <w:r w:rsidRPr="007B0E47">
        <w:rPr>
          <w:spacing w:val="-2"/>
          <w:sz w:val="20"/>
          <w:lang w:val="en-CA"/>
        </w:rPr>
        <w:t xml:space="preserve">Figure </w:t>
      </w:r>
      <w:r w:rsidR="00925326">
        <w:rPr>
          <w:spacing w:val="-2"/>
          <w:sz w:val="20"/>
          <w:lang w:val="en-CA"/>
        </w:rPr>
        <w:t>5</w:t>
      </w:r>
      <w:r w:rsidRPr="007B0E47">
        <w:rPr>
          <w:spacing w:val="-2"/>
          <w:sz w:val="20"/>
          <w:lang w:val="en-CA"/>
        </w:rPr>
        <w:t xml:space="preserve"> summarizes the soil arsenic and gold analytical results for MegumaGold’s 2019 program. There are three areas of large-scale arsenic anomalism in soil geochemistry, all of which are locally supported by low-level, anomalous gold in soil values. The first soil arsenic anomaly (A) occurs in the western grid area and measures approximately 1.1 km in length and ranges between 100 m and 600 m in width. It is open onto the optioned Genius properties to the west. The second area of arsenic anomalism (B) occurs at the eastern limit of the Touquoy West claim group, where it adjoins St. Barbara holding. In that instance, anomalism occurs along a length of approximately 500 m and across a width range of 50 to 400 m. This trend remains open to the east, onto St. Barbara holding. The third soil arsenic anomaly (C) occurs in the eastern grid area directly south of St. Barbara holding and measures approximately 1.0 km in length and up to 1.0 km in width. The A and B arsenic and gold soil anomalies coincide in part with interpreted northwest fault corridors that disrupt the main structural corridor trend in the respective areas. This is significant, since a northwest cross-structure corridor and arsenic anomalism association are interpreted by the Company to mark bedrock sequences and derived soils in the vicinity of the Touquoy Gold Mine to the northeast. </w:t>
      </w:r>
    </w:p>
    <w:p w14:paraId="5AE86451" w14:textId="77777777" w:rsidR="002D639F" w:rsidRPr="007B0E47" w:rsidRDefault="002D639F" w:rsidP="002D639F">
      <w:pPr>
        <w:autoSpaceDE w:val="0"/>
        <w:autoSpaceDN w:val="0"/>
        <w:adjustRightInd w:val="0"/>
        <w:jc w:val="both"/>
        <w:rPr>
          <w:spacing w:val="-2"/>
          <w:sz w:val="20"/>
          <w:lang w:val="en-CA"/>
        </w:rPr>
      </w:pPr>
    </w:p>
    <w:p w14:paraId="205D632D" w14:textId="77777777" w:rsidR="002D639F" w:rsidRDefault="002D639F" w:rsidP="002D639F">
      <w:pPr>
        <w:autoSpaceDE w:val="0"/>
        <w:autoSpaceDN w:val="0"/>
        <w:adjustRightInd w:val="0"/>
        <w:jc w:val="both"/>
        <w:rPr>
          <w:spacing w:val="-2"/>
          <w:sz w:val="20"/>
          <w:lang w:val="en-CA"/>
        </w:rPr>
      </w:pPr>
      <w:r w:rsidRPr="007B0E47">
        <w:rPr>
          <w:spacing w:val="-2"/>
          <w:sz w:val="20"/>
          <w:lang w:val="en-CA"/>
        </w:rPr>
        <w:t xml:space="preserve">Compiled results of historic till HMC gold surveying from Nova Scotia government sources are also presented in Figure </w:t>
      </w:r>
      <w:r w:rsidR="00925326">
        <w:rPr>
          <w:spacing w:val="-2"/>
          <w:sz w:val="20"/>
          <w:lang w:val="en-CA"/>
        </w:rPr>
        <w:t>5</w:t>
      </w:r>
      <w:r w:rsidRPr="007B0E47">
        <w:rPr>
          <w:spacing w:val="-2"/>
          <w:sz w:val="20"/>
          <w:lang w:val="en-CA"/>
        </w:rPr>
        <w:t xml:space="preserve">. In comparison to soil samples, HMC samples typically have much higher anomalism thresholds due to their concentrated nature and this is represented in the Figure </w:t>
      </w:r>
      <w:r w:rsidR="00925326">
        <w:rPr>
          <w:spacing w:val="-2"/>
          <w:sz w:val="20"/>
          <w:lang w:val="en-CA"/>
        </w:rPr>
        <w:t>5</w:t>
      </w:r>
      <w:r w:rsidRPr="007B0E47">
        <w:rPr>
          <w:spacing w:val="-2"/>
          <w:sz w:val="20"/>
          <w:lang w:val="en-CA"/>
        </w:rPr>
        <w:t xml:space="preserve"> legend by a gold threshold of 200 ppb. Soil gold values greater than 5 parts per billion (ppb) are also presented in Figure </w:t>
      </w:r>
      <w:r>
        <w:rPr>
          <w:spacing w:val="-2"/>
          <w:sz w:val="20"/>
          <w:lang w:val="en-CA"/>
        </w:rPr>
        <w:t>4</w:t>
      </w:r>
      <w:r w:rsidRPr="007B0E47">
        <w:rPr>
          <w:spacing w:val="-2"/>
          <w:sz w:val="20"/>
          <w:lang w:val="en-CA"/>
        </w:rPr>
        <w:t xml:space="preserve"> and show coincident, but spatially irregular association with the A and B soil arsenic/gold anomalies mentioned earlier. Scattered anomalous gold values also form a spatial group in the north-central grid area where anomalous historic till (HMC) gold values (&gt;200 ppb) have been reported. </w:t>
      </w:r>
    </w:p>
    <w:p w14:paraId="39B27077" w14:textId="77777777" w:rsidR="002D639F" w:rsidRDefault="002D639F" w:rsidP="002D639F">
      <w:pPr>
        <w:autoSpaceDE w:val="0"/>
        <w:autoSpaceDN w:val="0"/>
        <w:adjustRightInd w:val="0"/>
        <w:jc w:val="both"/>
        <w:rPr>
          <w:spacing w:val="-2"/>
          <w:sz w:val="20"/>
          <w:lang w:val="en-CA"/>
        </w:rPr>
      </w:pPr>
    </w:p>
    <w:p w14:paraId="0D916B23" w14:textId="1B1F7067" w:rsidR="00925326" w:rsidRPr="00925326" w:rsidRDefault="00C97277" w:rsidP="00925326">
      <w:pPr>
        <w:autoSpaceDE w:val="0"/>
        <w:autoSpaceDN w:val="0"/>
        <w:adjustRightInd w:val="0"/>
        <w:jc w:val="both"/>
        <w:rPr>
          <w:spacing w:val="-2"/>
          <w:sz w:val="20"/>
          <w:lang w:val="en-CA"/>
        </w:rPr>
      </w:pPr>
      <w:r>
        <w:rPr>
          <w:spacing w:val="-2"/>
          <w:sz w:val="20"/>
          <w:lang w:val="en-CA"/>
        </w:rPr>
        <w:t>In mi</w:t>
      </w:r>
      <w:r w:rsidR="002373BF">
        <w:rPr>
          <w:spacing w:val="-2"/>
          <w:sz w:val="20"/>
          <w:lang w:val="en-CA"/>
        </w:rPr>
        <w:t>d</w:t>
      </w:r>
      <w:r>
        <w:rPr>
          <w:spacing w:val="-2"/>
          <w:sz w:val="20"/>
          <w:lang w:val="en-CA"/>
        </w:rPr>
        <w:t xml:space="preserve"> February 2020 </w:t>
      </w:r>
      <w:r w:rsidR="00925326" w:rsidRPr="00925326">
        <w:rPr>
          <w:spacing w:val="-2"/>
          <w:sz w:val="20"/>
          <w:lang w:val="en-CA"/>
        </w:rPr>
        <w:t xml:space="preserve">MegumaGold completed </w:t>
      </w:r>
      <w:r w:rsidR="00C12AD5">
        <w:rPr>
          <w:spacing w:val="-2"/>
          <w:sz w:val="20"/>
          <w:lang w:val="en-CA"/>
        </w:rPr>
        <w:t xml:space="preserve">a </w:t>
      </w:r>
      <w:r w:rsidR="00925326" w:rsidRPr="00925326">
        <w:rPr>
          <w:spacing w:val="-2"/>
          <w:sz w:val="20"/>
          <w:lang w:val="en-CA"/>
        </w:rPr>
        <w:t>25.83 line kilometres Induced Polarization (IP) survey on the Touquoy West survey grid</w:t>
      </w:r>
      <w:r w:rsidR="002373BF">
        <w:rPr>
          <w:spacing w:val="-2"/>
          <w:sz w:val="20"/>
          <w:lang w:val="en-CA"/>
        </w:rPr>
        <w:t>,</w:t>
      </w:r>
      <w:r w:rsidR="00925326" w:rsidRPr="00925326">
        <w:rPr>
          <w:spacing w:val="-2"/>
          <w:sz w:val="20"/>
          <w:lang w:val="en-CA"/>
        </w:rPr>
        <w:t xml:space="preserve"> </w:t>
      </w:r>
      <w:r w:rsidR="002373BF">
        <w:rPr>
          <w:spacing w:val="-2"/>
          <w:sz w:val="20"/>
          <w:lang w:val="en-CA"/>
        </w:rPr>
        <w:t xml:space="preserve">which was </w:t>
      </w:r>
      <w:r w:rsidR="00925326" w:rsidRPr="00925326">
        <w:rPr>
          <w:spacing w:val="-2"/>
          <w:sz w:val="20"/>
          <w:lang w:val="en-CA"/>
        </w:rPr>
        <w:t>based on interpreted results of the ground magnetometer</w:t>
      </w:r>
      <w:r w:rsidR="002373BF">
        <w:rPr>
          <w:spacing w:val="-2"/>
          <w:sz w:val="20"/>
          <w:lang w:val="en-CA"/>
        </w:rPr>
        <w:t>/</w:t>
      </w:r>
      <w:r w:rsidR="00925326" w:rsidRPr="00925326">
        <w:rPr>
          <w:spacing w:val="-2"/>
          <w:sz w:val="20"/>
          <w:lang w:val="en-CA"/>
        </w:rPr>
        <w:t xml:space="preserve">VLF-EM surveying and B-horizon soil geochemistry programs completed on the property earlier in 2019. </w:t>
      </w:r>
    </w:p>
    <w:p w14:paraId="1EC7D264" w14:textId="77777777" w:rsidR="00925326" w:rsidRDefault="00925326" w:rsidP="00925326">
      <w:pPr>
        <w:autoSpaceDE w:val="0"/>
        <w:autoSpaceDN w:val="0"/>
        <w:adjustRightInd w:val="0"/>
        <w:jc w:val="both"/>
        <w:rPr>
          <w:spacing w:val="-2"/>
          <w:sz w:val="20"/>
          <w:lang w:val="en-CA"/>
        </w:rPr>
      </w:pPr>
      <w:r w:rsidRPr="00925326">
        <w:rPr>
          <w:spacing w:val="-2"/>
          <w:sz w:val="20"/>
          <w:lang w:val="en-CA"/>
        </w:rPr>
        <w:t xml:space="preserve">The IP survey was carried out by Eastern Geophysics Ltd. of West Pubnico, Nova Scotia between January 13 and February 7, 2020 using a dipole-dipole survey array (a=25m or a=50m and N=6). IP survey data was processed using inversion methods to produce interpreted sectional and plan presentations of apparent resistivity and chargeability responses. Surveying at 100 m line spacing was carried out for 1.7 km westward from the St. Barbara Touquoy claim boundary and broadly spaced lines were surveyed further to the west over discrete anomalous soil geochemistry areas that generally coincide with VLF-EM east-west trending conductivity and magnetic field anomalies that are interpreted as marking the main anticlinal trend that extends west from the Touquoy deposit area and across the entire length of the Touquoy West property. Two lines of IP surveying were also completed south of the St. Barbara property boundary in an area marked by weaker geophysical survey results but anomalous B-horizon soil geochemistry Au and </w:t>
      </w:r>
      <w:proofErr w:type="gramStart"/>
      <w:r w:rsidRPr="00925326">
        <w:rPr>
          <w:spacing w:val="-2"/>
          <w:sz w:val="20"/>
          <w:lang w:val="en-CA"/>
        </w:rPr>
        <w:t>As</w:t>
      </w:r>
      <w:proofErr w:type="gramEnd"/>
      <w:r w:rsidRPr="00925326">
        <w:rPr>
          <w:spacing w:val="-2"/>
          <w:sz w:val="20"/>
          <w:lang w:val="en-CA"/>
        </w:rPr>
        <w:t xml:space="preserve"> results. </w:t>
      </w:r>
    </w:p>
    <w:p w14:paraId="72DF1467" w14:textId="77777777" w:rsidR="00C06682" w:rsidRDefault="00C06682" w:rsidP="00925326">
      <w:pPr>
        <w:autoSpaceDE w:val="0"/>
        <w:autoSpaceDN w:val="0"/>
        <w:adjustRightInd w:val="0"/>
        <w:jc w:val="both"/>
        <w:rPr>
          <w:spacing w:val="-2"/>
          <w:sz w:val="20"/>
          <w:lang w:val="en-CA"/>
        </w:rPr>
      </w:pPr>
    </w:p>
    <w:p w14:paraId="509D7DB0" w14:textId="77777777" w:rsidR="00965C9A" w:rsidRPr="00925326" w:rsidRDefault="00965C9A" w:rsidP="00925326">
      <w:pPr>
        <w:autoSpaceDE w:val="0"/>
        <w:autoSpaceDN w:val="0"/>
        <w:adjustRightInd w:val="0"/>
        <w:jc w:val="both"/>
        <w:rPr>
          <w:spacing w:val="-2"/>
          <w:sz w:val="20"/>
          <w:lang w:val="en-CA"/>
        </w:rPr>
      </w:pPr>
    </w:p>
    <w:p w14:paraId="6AC03359" w14:textId="77777777" w:rsidR="00965C9A" w:rsidRPr="007E224C" w:rsidRDefault="00965C9A" w:rsidP="00965C9A">
      <w:pPr>
        <w:autoSpaceDE w:val="0"/>
        <w:autoSpaceDN w:val="0"/>
        <w:adjustRightInd w:val="0"/>
        <w:jc w:val="both"/>
        <w:rPr>
          <w:b/>
          <w:bCs/>
          <w:spacing w:val="-2"/>
          <w:sz w:val="20"/>
        </w:rPr>
      </w:pPr>
      <w:r w:rsidRPr="007E224C">
        <w:rPr>
          <w:b/>
          <w:bCs/>
          <w:spacing w:val="-2"/>
          <w:sz w:val="20"/>
        </w:rPr>
        <w:lastRenderedPageBreak/>
        <w:t xml:space="preserve">EXPLORATION AND DEVELOPMENT </w:t>
      </w:r>
      <w:proofErr w:type="gramStart"/>
      <w:r w:rsidRPr="007E224C">
        <w:rPr>
          <w:b/>
          <w:bCs/>
          <w:spacing w:val="-2"/>
          <w:sz w:val="20"/>
        </w:rPr>
        <w:t>STRATEGY(</w:t>
      </w:r>
      <w:proofErr w:type="gramEnd"/>
      <w:r w:rsidRPr="007E224C">
        <w:rPr>
          <w:b/>
          <w:bCs/>
          <w:spacing w:val="-2"/>
          <w:sz w:val="20"/>
        </w:rPr>
        <w:t>CONTINUED)</w:t>
      </w:r>
    </w:p>
    <w:p w14:paraId="6A7EC2C8" w14:textId="77777777" w:rsidR="00965C9A" w:rsidRPr="007E224C" w:rsidRDefault="00965C9A" w:rsidP="00965C9A">
      <w:pPr>
        <w:autoSpaceDE w:val="0"/>
        <w:autoSpaceDN w:val="0"/>
        <w:adjustRightInd w:val="0"/>
        <w:jc w:val="both"/>
        <w:rPr>
          <w:b/>
          <w:bCs/>
          <w:spacing w:val="-2"/>
          <w:sz w:val="20"/>
          <w:lang w:val="en-CA"/>
        </w:rPr>
      </w:pPr>
      <w:proofErr w:type="spellStart"/>
      <w:r w:rsidRPr="007E224C">
        <w:rPr>
          <w:b/>
          <w:bCs/>
          <w:spacing w:val="-2"/>
          <w:sz w:val="20"/>
          <w:lang w:val="en-CA"/>
        </w:rPr>
        <w:t>TOUQUOY</w:t>
      </w:r>
      <w:proofErr w:type="spellEnd"/>
      <w:r w:rsidRPr="007E224C">
        <w:rPr>
          <w:b/>
          <w:bCs/>
          <w:spacing w:val="-2"/>
          <w:sz w:val="20"/>
          <w:lang w:val="en-CA"/>
        </w:rPr>
        <w:t xml:space="preserve"> WEST (CONTINUED)</w:t>
      </w:r>
    </w:p>
    <w:p w14:paraId="2F6C59DD" w14:textId="77777777" w:rsidR="00965C9A" w:rsidRDefault="00965C9A" w:rsidP="00FE1F8B">
      <w:pPr>
        <w:autoSpaceDE w:val="0"/>
        <w:autoSpaceDN w:val="0"/>
        <w:adjustRightInd w:val="0"/>
        <w:jc w:val="both"/>
        <w:rPr>
          <w:spacing w:val="-2"/>
          <w:sz w:val="20"/>
          <w:lang w:val="en-CA"/>
        </w:rPr>
      </w:pPr>
    </w:p>
    <w:p w14:paraId="731E9798" w14:textId="77777777" w:rsidR="007E224C" w:rsidRDefault="00925326" w:rsidP="00FE1F8B">
      <w:pPr>
        <w:autoSpaceDE w:val="0"/>
        <w:autoSpaceDN w:val="0"/>
        <w:adjustRightInd w:val="0"/>
        <w:jc w:val="both"/>
        <w:rPr>
          <w:spacing w:val="-2"/>
          <w:sz w:val="20"/>
          <w:lang w:val="en-CA"/>
        </w:rPr>
      </w:pPr>
      <w:r w:rsidRPr="00925326">
        <w:rPr>
          <w:spacing w:val="-2"/>
          <w:sz w:val="20"/>
          <w:lang w:val="en-CA"/>
        </w:rPr>
        <w:t xml:space="preserve">Combined IP survey and geological compilation program results indicate that a well-developed chargeability anomaly </w:t>
      </w:r>
    </w:p>
    <w:p w14:paraId="2490D5A9" w14:textId="77777777" w:rsidR="00C06682" w:rsidRDefault="00925326" w:rsidP="00FE1F8B">
      <w:pPr>
        <w:autoSpaceDE w:val="0"/>
        <w:autoSpaceDN w:val="0"/>
        <w:adjustRightInd w:val="0"/>
        <w:jc w:val="both"/>
        <w:rPr>
          <w:spacing w:val="-2"/>
          <w:sz w:val="20"/>
          <w:lang w:val="en-CA"/>
        </w:rPr>
      </w:pPr>
      <w:proofErr w:type="gramStart"/>
      <w:r w:rsidRPr="00925326">
        <w:rPr>
          <w:spacing w:val="-2"/>
          <w:sz w:val="20"/>
          <w:lang w:val="en-CA"/>
        </w:rPr>
        <w:t>coincides</w:t>
      </w:r>
      <w:proofErr w:type="gramEnd"/>
      <w:r w:rsidRPr="00925326">
        <w:rPr>
          <w:spacing w:val="-2"/>
          <w:sz w:val="20"/>
          <w:lang w:val="en-CA"/>
        </w:rPr>
        <w:t xml:space="preserve"> with the interpreted hinge zone trend of the Moose River Anticline on the Touquoy West property. This IP </w:t>
      </w:r>
    </w:p>
    <w:p w14:paraId="6361737B" w14:textId="77777777" w:rsidR="00C06682" w:rsidRDefault="00925326" w:rsidP="00FE1F8B">
      <w:pPr>
        <w:autoSpaceDE w:val="0"/>
        <w:autoSpaceDN w:val="0"/>
        <w:adjustRightInd w:val="0"/>
        <w:jc w:val="both"/>
        <w:rPr>
          <w:spacing w:val="-2"/>
          <w:sz w:val="20"/>
          <w:lang w:val="en-CA"/>
        </w:rPr>
      </w:pPr>
      <w:proofErr w:type="gramStart"/>
      <w:r w:rsidRPr="00925326">
        <w:rPr>
          <w:spacing w:val="-2"/>
          <w:sz w:val="20"/>
          <w:lang w:val="en-CA"/>
        </w:rPr>
        <w:t>anomaly</w:t>
      </w:r>
      <w:proofErr w:type="gramEnd"/>
      <w:r w:rsidRPr="00925326">
        <w:rPr>
          <w:spacing w:val="-2"/>
          <w:sz w:val="20"/>
          <w:lang w:val="en-CA"/>
        </w:rPr>
        <w:t xml:space="preserve"> can be traced discontinuously for approximately 3.6 km across the Touquoy West survey grid and coincides </w:t>
      </w:r>
    </w:p>
    <w:p w14:paraId="2C9833A4" w14:textId="77777777" w:rsidR="00C06682" w:rsidRPr="00C06682" w:rsidRDefault="00925326" w:rsidP="00FE1F8B">
      <w:pPr>
        <w:autoSpaceDE w:val="0"/>
        <w:autoSpaceDN w:val="0"/>
        <w:adjustRightInd w:val="0"/>
        <w:jc w:val="both"/>
        <w:rPr>
          <w:spacing w:val="-2"/>
          <w:sz w:val="20"/>
          <w:lang w:val="en-CA"/>
        </w:rPr>
      </w:pPr>
      <w:proofErr w:type="gramStart"/>
      <w:r w:rsidRPr="00925326">
        <w:rPr>
          <w:spacing w:val="-2"/>
          <w:sz w:val="20"/>
          <w:lang w:val="en-CA"/>
        </w:rPr>
        <w:t>with</w:t>
      </w:r>
      <w:proofErr w:type="gramEnd"/>
      <w:r w:rsidRPr="00925326">
        <w:rPr>
          <w:spacing w:val="-2"/>
          <w:sz w:val="20"/>
          <w:lang w:val="en-CA"/>
        </w:rPr>
        <w:t xml:space="preserve"> soil geochemistry anomalies at several locations along its length</w:t>
      </w:r>
      <w:r w:rsidR="00FE1F8B">
        <w:rPr>
          <w:spacing w:val="-2"/>
          <w:sz w:val="20"/>
          <w:lang w:val="en-CA"/>
        </w:rPr>
        <w:t xml:space="preserve">. </w:t>
      </w:r>
      <w:r w:rsidRPr="00925326">
        <w:rPr>
          <w:spacing w:val="-2"/>
          <w:sz w:val="20"/>
          <w:lang w:val="en-CA"/>
        </w:rPr>
        <w:t xml:space="preserve">The anticlinal fold hinge zone trend remains open beyond the western grid limit onto MegumaGold exploration licences optioned from Genius Metals Inc. in 2019. </w:t>
      </w:r>
    </w:p>
    <w:p w14:paraId="6601DB04" w14:textId="77777777" w:rsidR="00FE1F8B" w:rsidRDefault="00925326" w:rsidP="00FE1F8B">
      <w:pPr>
        <w:autoSpaceDE w:val="0"/>
        <w:autoSpaceDN w:val="0"/>
        <w:adjustRightInd w:val="0"/>
        <w:jc w:val="both"/>
        <w:rPr>
          <w:spacing w:val="-2"/>
          <w:sz w:val="20"/>
        </w:rPr>
      </w:pPr>
      <w:r w:rsidRPr="00925326">
        <w:rPr>
          <w:spacing w:val="-2"/>
          <w:sz w:val="20"/>
          <w:lang w:val="en-CA"/>
        </w:rPr>
        <w:t>A second prominent chargeability anomaly occurs approximately 300 m north of the main trend</w:t>
      </w:r>
      <w:r w:rsidR="00FE1F8B">
        <w:rPr>
          <w:spacing w:val="-2"/>
          <w:sz w:val="20"/>
          <w:lang w:val="en-CA"/>
        </w:rPr>
        <w:t xml:space="preserve"> </w:t>
      </w:r>
      <w:r w:rsidRPr="00925326">
        <w:rPr>
          <w:spacing w:val="-2"/>
          <w:sz w:val="20"/>
          <w:lang w:val="en-CA"/>
        </w:rPr>
        <w:t>and has a strike length of approximately 700 m. This chargeability anomaly coincides in part with anomalous 2019 soil geochemistry results and is associated with an interpreted argillite-bearing stratigraphic interval that may indicate presence of a secondary anticlinal fold trend. A third chargeability anomaly west of the detailed survey block has been tentatively correlated between three survey lines along an 800 m strike</w:t>
      </w:r>
      <w:r w:rsidR="00FE1F8B">
        <w:rPr>
          <w:spacing w:val="-2"/>
          <w:sz w:val="20"/>
          <w:lang w:val="en-CA"/>
        </w:rPr>
        <w:t xml:space="preserve"> </w:t>
      </w:r>
      <w:r w:rsidR="00FE1F8B" w:rsidRPr="00FE1F8B">
        <w:rPr>
          <w:spacing w:val="-2"/>
          <w:sz w:val="20"/>
        </w:rPr>
        <w:t>length. This anomaly parallels the southern margin of a thick unit of interpreted argillite stratigraphy and is supported locally by anomalous gold and arsenic soil survey values</w:t>
      </w:r>
      <w:r w:rsidR="00FE1F8B">
        <w:rPr>
          <w:spacing w:val="-2"/>
          <w:sz w:val="20"/>
        </w:rPr>
        <w:t xml:space="preserve">. </w:t>
      </w:r>
      <w:r w:rsidR="00FE1F8B" w:rsidRPr="00FE1F8B">
        <w:rPr>
          <w:spacing w:val="-2"/>
          <w:sz w:val="20"/>
        </w:rPr>
        <w:t>Several lesser chargeability targets have also been identified</w:t>
      </w:r>
      <w:r w:rsidR="00FE1F8B">
        <w:rPr>
          <w:spacing w:val="-2"/>
          <w:sz w:val="20"/>
        </w:rPr>
        <w:t xml:space="preserve">. </w:t>
      </w:r>
      <w:r w:rsidR="00FE1F8B" w:rsidRPr="00FE1F8B">
        <w:rPr>
          <w:spacing w:val="-2"/>
          <w:sz w:val="20"/>
        </w:rPr>
        <w:t xml:space="preserve">Resistivity anomalies occur peripherally to all three main chargeability anomaly trends and may mark zones of bedrock silicification associated with mineralization. </w:t>
      </w:r>
    </w:p>
    <w:p w14:paraId="703C0A62" w14:textId="77777777" w:rsidR="00A27904" w:rsidRPr="00FE1F8B" w:rsidRDefault="00A27904" w:rsidP="00FE1F8B">
      <w:pPr>
        <w:autoSpaceDE w:val="0"/>
        <w:autoSpaceDN w:val="0"/>
        <w:adjustRightInd w:val="0"/>
        <w:jc w:val="both"/>
        <w:rPr>
          <w:spacing w:val="-2"/>
          <w:sz w:val="20"/>
        </w:rPr>
      </w:pPr>
    </w:p>
    <w:p w14:paraId="4A673AF3" w14:textId="77777777" w:rsidR="00925326" w:rsidRDefault="00FE1F8B" w:rsidP="00FE1F8B">
      <w:pPr>
        <w:autoSpaceDE w:val="0"/>
        <w:autoSpaceDN w:val="0"/>
        <w:adjustRightInd w:val="0"/>
        <w:jc w:val="both"/>
        <w:rPr>
          <w:spacing w:val="-2"/>
          <w:sz w:val="20"/>
          <w:lang w:val="en-CA"/>
        </w:rPr>
      </w:pPr>
      <w:r w:rsidRPr="00FE1F8B">
        <w:rPr>
          <w:spacing w:val="-2"/>
          <w:sz w:val="20"/>
          <w:lang w:val="en-CA"/>
        </w:rPr>
        <w:t>The IP survey chargeability responses detected at Touquoy West, which are in part spatially associated with existing soil geochemistry, magnetometer, and VLF-EM anomalies, may indicate the presence of disseminated sulphide mineralization similar in style to that present adjacent to the Touquoy gold deposit located a few kilometres to the east along the Moose River Anticline trend. These IP anomalies therefore constitute high-quality targets for future diamond drilling programs on the property to assess the potential for gold mineralization along the trend and at depth, with the main anticlinal trend anomaly being highest in priority, followed by the two anomalous trends further north on the grid that are parallel to the main trend.</w:t>
      </w:r>
    </w:p>
    <w:p w14:paraId="754D6519" w14:textId="77777777" w:rsidR="00A27904" w:rsidRPr="007B0E47" w:rsidRDefault="00A27904" w:rsidP="00FE1F8B">
      <w:pPr>
        <w:autoSpaceDE w:val="0"/>
        <w:autoSpaceDN w:val="0"/>
        <w:adjustRightInd w:val="0"/>
        <w:jc w:val="both"/>
        <w:rPr>
          <w:spacing w:val="-2"/>
          <w:sz w:val="20"/>
          <w:lang w:val="en-CA"/>
        </w:rPr>
      </w:pPr>
    </w:p>
    <w:p w14:paraId="352C74B5" w14:textId="4D1EFA83" w:rsidR="002D639F" w:rsidRDefault="002D639F" w:rsidP="002D639F">
      <w:pPr>
        <w:autoSpaceDE w:val="0"/>
        <w:autoSpaceDN w:val="0"/>
        <w:adjustRightInd w:val="0"/>
        <w:jc w:val="both"/>
        <w:rPr>
          <w:spacing w:val="-2"/>
          <w:sz w:val="20"/>
          <w:lang w:val="en-CA"/>
        </w:rPr>
      </w:pPr>
      <w:r w:rsidRPr="007B0E47">
        <w:rPr>
          <w:spacing w:val="-2"/>
          <w:sz w:val="20"/>
          <w:lang w:val="en-CA"/>
        </w:rPr>
        <w:t xml:space="preserve">MegumaGold considers further evaluation of the three main Touquoy West anomalies to be </w:t>
      </w:r>
      <w:r>
        <w:rPr>
          <w:spacing w:val="-2"/>
          <w:sz w:val="20"/>
          <w:lang w:val="en-CA"/>
        </w:rPr>
        <w:t>a</w:t>
      </w:r>
      <w:r w:rsidRPr="007B0E47">
        <w:rPr>
          <w:spacing w:val="-2"/>
          <w:sz w:val="20"/>
          <w:lang w:val="en-CA"/>
        </w:rPr>
        <w:t xml:space="preserve"> priority for the Company. To that end, </w:t>
      </w:r>
      <w:r w:rsidR="00FE1F8B">
        <w:rPr>
          <w:spacing w:val="-2"/>
          <w:sz w:val="20"/>
          <w:lang w:val="en-CA"/>
        </w:rPr>
        <w:t xml:space="preserve">the Company is currently designing a maiden detailed diamond drilling program to these targets for near surface mineralization and at depth. </w:t>
      </w:r>
      <w:r w:rsidRPr="007B0E47">
        <w:rPr>
          <w:spacing w:val="-2"/>
          <w:sz w:val="20"/>
          <w:lang w:val="en-CA"/>
        </w:rPr>
        <w:t xml:space="preserve"> Evaluation of the newly acquired Genius property to the west is also a priority and is expected to begin with completion of a high resolution airborne magnetometer and radiometrics survey followed by a till geochemistry, geological mapping, prospecting, and, ultimately, ground geophysics and soil sampling surveys during the 2020 field season, results of which are anticipated to defin</w:t>
      </w:r>
      <w:r>
        <w:rPr>
          <w:spacing w:val="-2"/>
          <w:sz w:val="20"/>
          <w:lang w:val="en-CA"/>
        </w:rPr>
        <w:t xml:space="preserve">e </w:t>
      </w:r>
      <w:r w:rsidRPr="007B0E47">
        <w:rPr>
          <w:spacing w:val="-2"/>
          <w:sz w:val="20"/>
          <w:lang w:val="en-CA"/>
        </w:rPr>
        <w:t xml:space="preserve">core drilling targets.    </w:t>
      </w:r>
    </w:p>
    <w:p w14:paraId="3C1C80F0" w14:textId="2027E39B" w:rsidR="006B13BF" w:rsidRDefault="006B13BF" w:rsidP="00817810">
      <w:pPr>
        <w:widowControl/>
        <w:rPr>
          <w:spacing w:val="-2"/>
          <w:sz w:val="20"/>
          <w:lang w:val="en-CA"/>
        </w:rPr>
      </w:pPr>
    </w:p>
    <w:p w14:paraId="2F12C4C6" w14:textId="77777777" w:rsidR="002D639F" w:rsidRPr="004427A8" w:rsidRDefault="002D639F" w:rsidP="002D639F">
      <w:pPr>
        <w:autoSpaceDE w:val="0"/>
        <w:autoSpaceDN w:val="0"/>
        <w:adjustRightInd w:val="0"/>
        <w:spacing w:after="120"/>
        <w:jc w:val="both"/>
        <w:rPr>
          <w:b/>
          <w:spacing w:val="-2"/>
          <w:sz w:val="20"/>
        </w:rPr>
      </w:pPr>
      <w:r w:rsidRPr="004427A8">
        <w:rPr>
          <w:b/>
          <w:spacing w:val="-2"/>
          <w:sz w:val="20"/>
        </w:rPr>
        <w:t>Cariboo Gold Properties</w:t>
      </w:r>
    </w:p>
    <w:p w14:paraId="7E139C78" w14:textId="77777777" w:rsidR="002D639F" w:rsidRPr="004427A8" w:rsidRDefault="00817810" w:rsidP="002D639F">
      <w:pPr>
        <w:adjustRightInd w:val="0"/>
        <w:spacing w:after="200"/>
        <w:jc w:val="both"/>
        <w:rPr>
          <w:spacing w:val="-2"/>
          <w:sz w:val="20"/>
        </w:rPr>
      </w:pPr>
      <w:r>
        <w:rPr>
          <w:spacing w:val="-2"/>
          <w:sz w:val="20"/>
        </w:rPr>
        <w:t>In fiscal 2019, t</w:t>
      </w:r>
      <w:r w:rsidR="002D639F" w:rsidRPr="004427A8">
        <w:rPr>
          <w:spacing w:val="-2"/>
          <w:sz w:val="20"/>
        </w:rPr>
        <w:t>he Company completed the acquisition of 116 and will enter the historic Cariboo Gold District, which will comprise of the following projects:</w:t>
      </w:r>
    </w:p>
    <w:p w14:paraId="5166B5CF" w14:textId="77777777" w:rsidR="002D639F" w:rsidRPr="004427A8" w:rsidRDefault="002D639F" w:rsidP="002D639F">
      <w:pPr>
        <w:numPr>
          <w:ilvl w:val="0"/>
          <w:numId w:val="33"/>
        </w:numPr>
        <w:adjustRightInd w:val="0"/>
        <w:jc w:val="both"/>
        <w:rPr>
          <w:sz w:val="20"/>
        </w:rPr>
      </w:pPr>
      <w:r w:rsidRPr="004427A8">
        <w:rPr>
          <w:sz w:val="20"/>
        </w:rPr>
        <w:t xml:space="preserve">The Cariboo Gold Project comprises multiple tenure blocks totaling 4,515 hectares, which strategically target the Transitional or Basalt Siltstone of the </w:t>
      </w:r>
      <w:proofErr w:type="spellStart"/>
      <w:r w:rsidRPr="004427A8">
        <w:rPr>
          <w:sz w:val="20"/>
        </w:rPr>
        <w:t>Barkerville</w:t>
      </w:r>
      <w:proofErr w:type="spellEnd"/>
      <w:r w:rsidRPr="004427A8">
        <w:rPr>
          <w:sz w:val="20"/>
        </w:rPr>
        <w:t xml:space="preserve"> Terrain.  </w:t>
      </w:r>
    </w:p>
    <w:p w14:paraId="6C5996BF" w14:textId="77777777" w:rsidR="002D639F" w:rsidRPr="004427A8" w:rsidRDefault="002D639F" w:rsidP="002D639F">
      <w:pPr>
        <w:numPr>
          <w:ilvl w:val="0"/>
          <w:numId w:val="33"/>
        </w:numPr>
        <w:adjustRightInd w:val="0"/>
        <w:jc w:val="both"/>
        <w:rPr>
          <w:sz w:val="20"/>
        </w:rPr>
      </w:pPr>
      <w:r w:rsidRPr="004427A8">
        <w:rPr>
          <w:sz w:val="20"/>
        </w:rPr>
        <w:t xml:space="preserve">The Lac La </w:t>
      </w:r>
      <w:proofErr w:type="spellStart"/>
      <w:r w:rsidRPr="004427A8">
        <w:rPr>
          <w:sz w:val="20"/>
        </w:rPr>
        <w:t>Hache</w:t>
      </w:r>
      <w:proofErr w:type="spellEnd"/>
      <w:r w:rsidRPr="004427A8">
        <w:rPr>
          <w:sz w:val="20"/>
        </w:rPr>
        <w:t xml:space="preserve"> Gold Project represents exposure to a new, emerging gold exploration area of the Cariboo Gold District, located northeast of 100 Mile House. The project comprises approximately 180 hectares of exploration ground situated on the north </w:t>
      </w:r>
      <w:proofErr w:type="gramStart"/>
      <w:r w:rsidRPr="004427A8">
        <w:rPr>
          <w:sz w:val="20"/>
        </w:rPr>
        <w:t>shore</w:t>
      </w:r>
      <w:proofErr w:type="gramEnd"/>
      <w:r w:rsidRPr="004427A8">
        <w:rPr>
          <w:sz w:val="20"/>
        </w:rPr>
        <w:t xml:space="preserve"> of Spout Lake, in close proximity to the recent discovery on the south shore of the lake by </w:t>
      </w:r>
      <w:proofErr w:type="spellStart"/>
      <w:r w:rsidRPr="004427A8">
        <w:rPr>
          <w:sz w:val="20"/>
        </w:rPr>
        <w:t>Engold</w:t>
      </w:r>
      <w:proofErr w:type="spellEnd"/>
      <w:r w:rsidRPr="004427A8">
        <w:rPr>
          <w:sz w:val="20"/>
        </w:rPr>
        <w:t xml:space="preserve"> Mines Ltd.</w:t>
      </w:r>
    </w:p>
    <w:p w14:paraId="43F90157" w14:textId="77777777" w:rsidR="002D639F" w:rsidRPr="004427A8" w:rsidRDefault="002D639F" w:rsidP="002D639F">
      <w:pPr>
        <w:numPr>
          <w:ilvl w:val="0"/>
          <w:numId w:val="33"/>
        </w:numPr>
        <w:adjustRightInd w:val="0"/>
        <w:spacing w:after="120"/>
        <w:jc w:val="both"/>
        <w:rPr>
          <w:sz w:val="20"/>
        </w:rPr>
      </w:pPr>
      <w:r w:rsidRPr="004427A8">
        <w:rPr>
          <w:sz w:val="20"/>
        </w:rPr>
        <w:t>The Pinto Gold Project is a gold exploration target located in southern British Columbia and is approximately 80.9 hectares in size.</w:t>
      </w:r>
    </w:p>
    <w:p w14:paraId="42B54C6F" w14:textId="77777777" w:rsidR="002D639F" w:rsidRPr="004427A8" w:rsidRDefault="002D639F" w:rsidP="002D639F">
      <w:pPr>
        <w:adjustRightInd w:val="0"/>
        <w:jc w:val="both"/>
        <w:rPr>
          <w:spacing w:val="-2"/>
          <w:sz w:val="20"/>
        </w:rPr>
      </w:pPr>
      <w:r w:rsidRPr="004427A8">
        <w:rPr>
          <w:spacing w:val="-2"/>
          <w:sz w:val="20"/>
        </w:rPr>
        <w:t xml:space="preserve">In conjunction with the above, the Company acquired 100% of the common shares of a privately-held company that owns the Cariboo Gold, Lac la </w:t>
      </w:r>
      <w:proofErr w:type="spellStart"/>
      <w:r w:rsidRPr="004427A8">
        <w:rPr>
          <w:spacing w:val="-2"/>
          <w:sz w:val="20"/>
        </w:rPr>
        <w:t>Hache</w:t>
      </w:r>
      <w:proofErr w:type="spellEnd"/>
      <w:r w:rsidRPr="004427A8">
        <w:rPr>
          <w:spacing w:val="-2"/>
          <w:sz w:val="20"/>
        </w:rPr>
        <w:t xml:space="preserve"> and Pinto gold projects from arm’s-length vendors and issued 17.5M common shares of the Company and made </w:t>
      </w:r>
      <w:proofErr w:type="gramStart"/>
      <w:r w:rsidRPr="004427A8">
        <w:rPr>
          <w:spacing w:val="-2"/>
          <w:sz w:val="20"/>
        </w:rPr>
        <w:t>a cash</w:t>
      </w:r>
      <w:proofErr w:type="gramEnd"/>
      <w:r w:rsidRPr="004427A8">
        <w:rPr>
          <w:spacing w:val="-2"/>
          <w:sz w:val="20"/>
        </w:rPr>
        <w:t xml:space="preserve"> payment of $25,000. No finders’ fees were paid on the transaction.</w:t>
      </w:r>
    </w:p>
    <w:p w14:paraId="40421265" w14:textId="77777777" w:rsidR="00817810" w:rsidRPr="00F35544" w:rsidRDefault="00817810" w:rsidP="00817810">
      <w:pPr>
        <w:adjustRightInd w:val="0"/>
        <w:jc w:val="both"/>
        <w:rPr>
          <w:b/>
          <w:caps/>
          <w:sz w:val="20"/>
        </w:rPr>
      </w:pPr>
    </w:p>
    <w:p w14:paraId="6DCAE7BC" w14:textId="77777777" w:rsidR="006B13BF" w:rsidRPr="002D639F" w:rsidRDefault="006B13BF" w:rsidP="006B13BF">
      <w:pPr>
        <w:widowControl/>
        <w:rPr>
          <w:spacing w:val="-2"/>
          <w:sz w:val="20"/>
          <w:lang w:val="en-CA"/>
        </w:rPr>
      </w:pPr>
      <w:r>
        <w:rPr>
          <w:b/>
          <w:spacing w:val="-2"/>
          <w:sz w:val="20"/>
        </w:rPr>
        <w:br w:type="page"/>
      </w:r>
      <w:r w:rsidRPr="0058706D">
        <w:rPr>
          <w:b/>
          <w:bCs/>
          <w:spacing w:val="-2"/>
          <w:sz w:val="20"/>
        </w:rPr>
        <w:lastRenderedPageBreak/>
        <w:t xml:space="preserve">EXPLORATION AND DEVELOPMENT </w:t>
      </w:r>
      <w:proofErr w:type="gramStart"/>
      <w:r w:rsidRPr="0058706D">
        <w:rPr>
          <w:b/>
          <w:bCs/>
          <w:spacing w:val="-2"/>
          <w:sz w:val="20"/>
        </w:rPr>
        <w:t>STRATEGY(</w:t>
      </w:r>
      <w:proofErr w:type="gramEnd"/>
      <w:r w:rsidRPr="0058706D">
        <w:rPr>
          <w:b/>
          <w:bCs/>
          <w:spacing w:val="-2"/>
          <w:sz w:val="20"/>
        </w:rPr>
        <w:t>CONTINUED)</w:t>
      </w:r>
    </w:p>
    <w:p w14:paraId="3111E04D" w14:textId="77777777" w:rsidR="006B13BF" w:rsidRDefault="006B13BF" w:rsidP="006B13BF">
      <w:pPr>
        <w:adjustRightInd w:val="0"/>
        <w:jc w:val="both"/>
        <w:rPr>
          <w:b/>
          <w:spacing w:val="-2"/>
          <w:sz w:val="20"/>
        </w:rPr>
      </w:pPr>
    </w:p>
    <w:p w14:paraId="41C87EE3" w14:textId="5901B1E1" w:rsidR="002D639F" w:rsidRPr="004427A8" w:rsidRDefault="002D639F" w:rsidP="002D639F">
      <w:pPr>
        <w:adjustRightInd w:val="0"/>
        <w:spacing w:after="120"/>
        <w:jc w:val="both"/>
        <w:rPr>
          <w:b/>
          <w:caps/>
          <w:sz w:val="20"/>
        </w:rPr>
      </w:pPr>
      <w:r w:rsidRPr="004427A8">
        <w:rPr>
          <w:b/>
          <w:spacing w:val="-2"/>
          <w:sz w:val="20"/>
        </w:rPr>
        <w:t>Outlook</w:t>
      </w:r>
    </w:p>
    <w:p w14:paraId="43B8AE45" w14:textId="422BE7AC" w:rsidR="002D639F" w:rsidRDefault="002D639F" w:rsidP="002D639F">
      <w:pPr>
        <w:adjustRightInd w:val="0"/>
        <w:spacing w:after="60"/>
        <w:jc w:val="both"/>
        <w:rPr>
          <w:spacing w:val="-2"/>
          <w:sz w:val="20"/>
        </w:rPr>
      </w:pPr>
      <w:r w:rsidRPr="004427A8">
        <w:rPr>
          <w:spacing w:val="-2"/>
          <w:sz w:val="20"/>
        </w:rPr>
        <w:t xml:space="preserve">Follow-up drilling of high probability targets at the Killag </w:t>
      </w:r>
      <w:r>
        <w:rPr>
          <w:spacing w:val="-2"/>
          <w:sz w:val="20"/>
        </w:rPr>
        <w:t xml:space="preserve">and Touquoy West </w:t>
      </w:r>
      <w:r w:rsidRPr="004427A8">
        <w:rPr>
          <w:spacing w:val="-2"/>
          <w:sz w:val="20"/>
        </w:rPr>
        <w:t>Propert</w:t>
      </w:r>
      <w:r>
        <w:rPr>
          <w:spacing w:val="-2"/>
          <w:sz w:val="20"/>
        </w:rPr>
        <w:t>ies</w:t>
      </w:r>
      <w:r w:rsidRPr="004427A8">
        <w:rPr>
          <w:spacing w:val="-2"/>
          <w:sz w:val="20"/>
        </w:rPr>
        <w:t xml:space="preserve"> will commence </w:t>
      </w:r>
      <w:r w:rsidR="00A27904">
        <w:rPr>
          <w:spacing w:val="-2"/>
          <w:sz w:val="20"/>
        </w:rPr>
        <w:t xml:space="preserve">once </w:t>
      </w:r>
      <w:r w:rsidR="00C06682">
        <w:rPr>
          <w:spacing w:val="-2"/>
          <w:sz w:val="20"/>
        </w:rPr>
        <w:t>the permitting process has been completed</w:t>
      </w:r>
      <w:r w:rsidR="006D2C68">
        <w:rPr>
          <w:spacing w:val="-2"/>
          <w:sz w:val="20"/>
        </w:rPr>
        <w:t xml:space="preserve"> to</w:t>
      </w:r>
      <w:r w:rsidR="00F55166">
        <w:rPr>
          <w:spacing w:val="-2"/>
          <w:sz w:val="20"/>
        </w:rPr>
        <w:t xml:space="preserve"> the satisfaction of the</w:t>
      </w:r>
      <w:r w:rsidR="00C06682">
        <w:rPr>
          <w:spacing w:val="-2"/>
          <w:sz w:val="20"/>
        </w:rPr>
        <w:t xml:space="preserve"> Nova Scotia Department of </w:t>
      </w:r>
      <w:r w:rsidR="006D2C68">
        <w:rPr>
          <w:spacing w:val="-2"/>
          <w:sz w:val="20"/>
        </w:rPr>
        <w:t>Energy</w:t>
      </w:r>
      <w:r w:rsidR="00C06682">
        <w:rPr>
          <w:spacing w:val="-2"/>
          <w:sz w:val="20"/>
        </w:rPr>
        <w:t xml:space="preserve"> and </w:t>
      </w:r>
      <w:r w:rsidR="006D2C68">
        <w:rPr>
          <w:spacing w:val="-2"/>
          <w:sz w:val="20"/>
        </w:rPr>
        <w:t>Mines</w:t>
      </w:r>
      <w:r w:rsidRPr="004427A8">
        <w:rPr>
          <w:spacing w:val="-2"/>
          <w:sz w:val="20"/>
        </w:rPr>
        <w:t>. Management is of the opinion that the initial 2019 RC drilling results at Killag confirm the Axial Zone as an important new exploration target on the property that remains open for assessment both along strike and down dip along the entire 6 km length of the Killag anticline. Similar potential is also recognized along the further east and west strike extensions of the anticline that define the entire Gold Lake-Killag-Goldenville structural corridor. The Goldenville deposit, located roughly 35 km east of Killag along this corridor is detailed in Nova Scotia government records</w:t>
      </w:r>
      <w:r w:rsidR="00254944">
        <w:rPr>
          <w:spacing w:val="-2"/>
          <w:sz w:val="20"/>
        </w:rPr>
        <w:t xml:space="preserve"> and</w:t>
      </w:r>
      <w:r w:rsidRPr="004427A8">
        <w:rPr>
          <w:spacing w:val="-2"/>
          <w:sz w:val="20"/>
        </w:rPr>
        <w:t xml:space="preserve"> has historic gold production of more than 200,000 oz from the district at an estimated average gold grade of approximately 12g/t. MegumaGold believes that this production history is indicative gold endowment of this structural corridor, along which the company holds the largest current exploration land position. </w:t>
      </w:r>
    </w:p>
    <w:p w14:paraId="1F0264CF" w14:textId="77777777" w:rsidR="002D639F" w:rsidRDefault="002D639F" w:rsidP="002D639F">
      <w:pPr>
        <w:adjustRightInd w:val="0"/>
        <w:spacing w:after="60"/>
        <w:jc w:val="both"/>
        <w:rPr>
          <w:spacing w:val="-2"/>
          <w:sz w:val="20"/>
        </w:rPr>
      </w:pPr>
      <w:r w:rsidRPr="004427A8">
        <w:rPr>
          <w:spacing w:val="-2"/>
          <w:sz w:val="20"/>
        </w:rPr>
        <w:t xml:space="preserve">Properties identified through field work for immediate follow up programs </w:t>
      </w:r>
      <w:r w:rsidR="00C06682">
        <w:rPr>
          <w:spacing w:val="-2"/>
          <w:sz w:val="20"/>
        </w:rPr>
        <w:t>to run concurrently</w:t>
      </w:r>
      <w:r w:rsidRPr="004427A8">
        <w:rPr>
          <w:spacing w:val="-2"/>
          <w:sz w:val="20"/>
        </w:rPr>
        <w:t xml:space="preserve"> with upcoming Killag</w:t>
      </w:r>
      <w:r>
        <w:rPr>
          <w:spacing w:val="-2"/>
          <w:sz w:val="20"/>
        </w:rPr>
        <w:t xml:space="preserve"> and Touquoy</w:t>
      </w:r>
      <w:r w:rsidRPr="004427A8">
        <w:rPr>
          <w:spacing w:val="-2"/>
          <w:sz w:val="20"/>
        </w:rPr>
        <w:t xml:space="preserve"> drilling </w:t>
      </w:r>
      <w:proofErr w:type="gramStart"/>
      <w:r w:rsidRPr="004427A8">
        <w:rPr>
          <w:spacing w:val="-2"/>
          <w:sz w:val="20"/>
        </w:rPr>
        <w:t>include</w:t>
      </w:r>
      <w:proofErr w:type="gramEnd"/>
      <w:r>
        <w:rPr>
          <w:spacing w:val="-2"/>
          <w:sz w:val="20"/>
        </w:rPr>
        <w:t>:</w:t>
      </w:r>
      <w:r w:rsidRPr="004427A8">
        <w:rPr>
          <w:spacing w:val="-2"/>
          <w:sz w:val="20"/>
        </w:rPr>
        <w:t xml:space="preserve"> </w:t>
      </w:r>
    </w:p>
    <w:p w14:paraId="39E22793" w14:textId="77777777" w:rsidR="002D639F" w:rsidRPr="004427A8" w:rsidRDefault="002D639F" w:rsidP="002D639F">
      <w:pPr>
        <w:numPr>
          <w:ilvl w:val="0"/>
          <w:numId w:val="34"/>
        </w:numPr>
        <w:adjustRightInd w:val="0"/>
        <w:jc w:val="both"/>
        <w:rPr>
          <w:spacing w:val="-2"/>
          <w:sz w:val="20"/>
        </w:rPr>
      </w:pPr>
      <w:r w:rsidRPr="004427A8">
        <w:rPr>
          <w:spacing w:val="-2"/>
          <w:sz w:val="20"/>
        </w:rPr>
        <w:t xml:space="preserve">Como Lake </w:t>
      </w:r>
    </w:p>
    <w:p w14:paraId="34150C18" w14:textId="77777777" w:rsidR="002D639F" w:rsidRPr="004427A8" w:rsidRDefault="002D639F" w:rsidP="002D639F">
      <w:pPr>
        <w:numPr>
          <w:ilvl w:val="0"/>
          <w:numId w:val="34"/>
        </w:numPr>
        <w:adjustRightInd w:val="0"/>
        <w:jc w:val="both"/>
        <w:rPr>
          <w:spacing w:val="-2"/>
          <w:sz w:val="20"/>
        </w:rPr>
      </w:pPr>
      <w:r w:rsidRPr="004427A8">
        <w:rPr>
          <w:spacing w:val="-2"/>
          <w:sz w:val="20"/>
        </w:rPr>
        <w:t xml:space="preserve">Kent Lake </w:t>
      </w:r>
    </w:p>
    <w:p w14:paraId="267DB875" w14:textId="77777777" w:rsidR="002D639F" w:rsidRDefault="002D639F" w:rsidP="002D639F">
      <w:pPr>
        <w:numPr>
          <w:ilvl w:val="0"/>
          <w:numId w:val="34"/>
        </w:numPr>
        <w:adjustRightInd w:val="0"/>
        <w:jc w:val="both"/>
        <w:rPr>
          <w:spacing w:val="-2"/>
          <w:sz w:val="20"/>
        </w:rPr>
      </w:pPr>
      <w:r w:rsidRPr="004427A8">
        <w:rPr>
          <w:spacing w:val="-2"/>
          <w:sz w:val="20"/>
        </w:rPr>
        <w:t xml:space="preserve">Gold Lake </w:t>
      </w:r>
    </w:p>
    <w:p w14:paraId="401A1BC6" w14:textId="77777777" w:rsidR="002D639F" w:rsidRPr="004427A8" w:rsidRDefault="002D639F" w:rsidP="00817810">
      <w:pPr>
        <w:adjustRightInd w:val="0"/>
        <w:spacing w:before="120" w:after="120"/>
        <w:jc w:val="both"/>
        <w:rPr>
          <w:b/>
          <w:bCs/>
          <w:spacing w:val="-2"/>
          <w:sz w:val="20"/>
        </w:rPr>
      </w:pPr>
      <w:r w:rsidRPr="004427A8">
        <w:rPr>
          <w:b/>
          <w:bCs/>
          <w:spacing w:val="-2"/>
          <w:sz w:val="20"/>
        </w:rPr>
        <w:t xml:space="preserve">Como Lake Target </w:t>
      </w:r>
    </w:p>
    <w:p w14:paraId="44A84868" w14:textId="77777777" w:rsidR="002D639F" w:rsidRPr="004427A8" w:rsidRDefault="002D639F" w:rsidP="002D639F">
      <w:pPr>
        <w:adjustRightInd w:val="0"/>
        <w:spacing w:after="120"/>
        <w:jc w:val="both"/>
        <w:rPr>
          <w:rFonts w:eastAsia="Calibri"/>
          <w:sz w:val="20"/>
          <w:lang w:val="en-CA" w:eastAsia="en-CA"/>
        </w:rPr>
      </w:pPr>
      <w:r w:rsidRPr="004427A8">
        <w:rPr>
          <w:rFonts w:eastAsia="Calibri"/>
          <w:sz w:val="20"/>
          <w:lang w:val="en-CA" w:eastAsia="en-CA"/>
        </w:rPr>
        <w:t xml:space="preserve">The Como Lake target area is located between Tait Lake and the west </w:t>
      </w:r>
      <w:proofErr w:type="gramStart"/>
      <w:r w:rsidRPr="004427A8">
        <w:rPr>
          <w:rFonts w:eastAsia="Calibri"/>
          <w:sz w:val="20"/>
          <w:lang w:val="en-CA" w:eastAsia="en-CA"/>
        </w:rPr>
        <w:t>shore</w:t>
      </w:r>
      <w:proofErr w:type="gramEnd"/>
      <w:r w:rsidRPr="004427A8">
        <w:rPr>
          <w:rFonts w:eastAsia="Calibri"/>
          <w:sz w:val="20"/>
          <w:lang w:val="en-CA" w:eastAsia="en-CA"/>
        </w:rPr>
        <w:t xml:space="preserve"> of Como Lake, in Halifax County, NS. The licence area is approximately a 30‐minute</w:t>
      </w:r>
      <w:r w:rsidRPr="004427A8">
        <w:rPr>
          <w:spacing w:val="-2"/>
          <w:sz w:val="20"/>
        </w:rPr>
        <w:t xml:space="preserve"> </w:t>
      </w:r>
      <w:r w:rsidRPr="004427A8">
        <w:rPr>
          <w:rFonts w:eastAsia="Calibri"/>
          <w:sz w:val="20"/>
          <w:lang w:val="en-CA" w:eastAsia="en-CA"/>
        </w:rPr>
        <w:t>drive from Sheet Harbour on the eastern shore of Nova Scotia and can be easily accessed via highway 224 and then by the Beaver Dam access road and associated forestry roads. Licence 51645 consists of 11 claims covering 178 hectares and is in good standing until June 28, 20</w:t>
      </w:r>
      <w:r>
        <w:rPr>
          <w:rFonts w:eastAsia="Calibri"/>
          <w:sz w:val="20"/>
          <w:lang w:val="en-CA" w:eastAsia="en-CA"/>
        </w:rPr>
        <w:t>21</w:t>
      </w:r>
      <w:r w:rsidRPr="004427A8">
        <w:rPr>
          <w:rFonts w:eastAsia="Calibri"/>
          <w:sz w:val="20"/>
          <w:lang w:val="en-CA" w:eastAsia="en-CA"/>
        </w:rPr>
        <w:t>. The licence area is approximately 600 m north of the interpreted faulted extension of the Beaver Dam‐Fifteen Mile Stream Anticline and the Beaver Dam gold deposit held by Atlantic Gold Corporation (Atlantic) is located approximately 2 km south of the licence. The nearest known NS Mineral Occurrence (E02‐022‐Como Lake) is located 500 metres south of the licence and consists of native gold found in a quartz boulder (float) that is noted on an early Geological Survey of Canada (GSC) map of the area (Faribault, 1897).</w:t>
      </w:r>
      <w:r>
        <w:rPr>
          <w:rFonts w:eastAsia="Calibri"/>
          <w:sz w:val="20"/>
          <w:lang w:val="en-CA" w:eastAsia="en-CA"/>
        </w:rPr>
        <w:t xml:space="preserve">  </w:t>
      </w:r>
      <w:r w:rsidRPr="004427A8">
        <w:rPr>
          <w:rFonts w:eastAsia="Calibri"/>
          <w:sz w:val="20"/>
          <w:lang w:val="en-CA" w:eastAsia="en-CA"/>
        </w:rPr>
        <w:t xml:space="preserve">MegumaGold collected 28 rock samples from the Licence area during the 2018 field season and these were analyzed by XRF to allow application of the company’s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Factor.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w:t>
      </w:r>
      <w:r>
        <w:rPr>
          <w:rFonts w:eastAsia="Calibri"/>
          <w:sz w:val="20"/>
          <w:lang w:val="en-CA" w:eastAsia="en-CA"/>
        </w:rPr>
        <w:t>F</w:t>
      </w:r>
      <w:r w:rsidRPr="004427A8">
        <w:rPr>
          <w:rFonts w:eastAsia="Calibri"/>
          <w:sz w:val="20"/>
          <w:lang w:val="en-CA" w:eastAsia="en-CA"/>
        </w:rPr>
        <w:t xml:space="preserve">actor results were also calculated for multielement data available for earlier rotary percussion or RC drilling programs completed in and around the area by others. Analysis of data from the field program results define an anomaly in two outcrop samples within which both samples have low (positive)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Lithogeochemistry</w:t>
      </w:r>
      <w:proofErr w:type="spellEnd"/>
      <w:r w:rsidRPr="004427A8">
        <w:rPr>
          <w:rFonts w:eastAsia="Calibri"/>
          <w:sz w:val="20"/>
          <w:lang w:val="en-CA" w:eastAsia="en-CA"/>
        </w:rPr>
        <w:t xml:space="preserve"> Factor scores. Analysis by the company in 2018 of associated DDV drill chip multi‐element data shows that five of the interface RC holes within Como lake Licence are also characterized by low (positive) scores. The results of the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Factor work indicate a local presence of alteration similar to that present in the alteration halo of the Touquoy gold deposit.</w:t>
      </w:r>
    </w:p>
    <w:p w14:paraId="29E019FE" w14:textId="77777777" w:rsidR="002D639F" w:rsidRDefault="002D639F" w:rsidP="002D639F">
      <w:pPr>
        <w:widowControl/>
        <w:autoSpaceDE w:val="0"/>
        <w:autoSpaceDN w:val="0"/>
        <w:adjustRightInd w:val="0"/>
        <w:jc w:val="both"/>
        <w:rPr>
          <w:rFonts w:eastAsia="Calibri"/>
          <w:sz w:val="20"/>
          <w:lang w:val="en-CA" w:eastAsia="en-CA"/>
        </w:rPr>
      </w:pPr>
      <w:r w:rsidRPr="004427A8">
        <w:rPr>
          <w:rFonts w:eastAsia="Calibri"/>
          <w:sz w:val="20"/>
          <w:lang w:val="en-CA" w:eastAsia="en-CA"/>
        </w:rPr>
        <w:t>The Como Lake target area is well positioned in proximity to Atlantic Gold’s “Corridor” regional exploration</w:t>
      </w:r>
      <w:r>
        <w:rPr>
          <w:rFonts w:eastAsia="Calibri"/>
          <w:sz w:val="20"/>
          <w:lang w:val="en-CA" w:eastAsia="en-CA"/>
        </w:rPr>
        <w:t xml:space="preserve"> </w:t>
      </w:r>
      <w:r w:rsidRPr="004427A8">
        <w:rPr>
          <w:rFonts w:eastAsia="Calibri"/>
          <w:sz w:val="20"/>
          <w:lang w:val="en-CA" w:eastAsia="en-CA"/>
        </w:rPr>
        <w:t xml:space="preserve">program holdings and occurs on the north side of that company’s regionally recognized Moose River Formation. Coincident aeromagnetic survey trends in this area follow argillite‐rich </w:t>
      </w:r>
      <w:proofErr w:type="gramStart"/>
      <w:r w:rsidRPr="004427A8">
        <w:rPr>
          <w:rFonts w:eastAsia="Calibri"/>
          <w:sz w:val="20"/>
          <w:lang w:val="en-CA" w:eastAsia="en-CA"/>
        </w:rPr>
        <w:t>stratigraphy,</w:t>
      </w:r>
      <w:proofErr w:type="gramEnd"/>
      <w:r w:rsidRPr="004427A8">
        <w:rPr>
          <w:rFonts w:eastAsia="Calibri"/>
          <w:sz w:val="20"/>
          <w:lang w:val="en-CA" w:eastAsia="en-CA"/>
        </w:rPr>
        <w:t xml:space="preserve"> track airborne and ground survey defined VLF‐EM conductors, and locally coincide with interpreted anticlinal closure zones mapped in this area. A weak, historic gold in soil anomaly also coincides with the area. The soil anomaly in the lower east corner of the Licence is broadly coincident with a slightly anomalous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Lithgeochemical</w:t>
      </w:r>
      <w:proofErr w:type="spellEnd"/>
      <w:r w:rsidRPr="004427A8">
        <w:rPr>
          <w:rFonts w:eastAsia="Calibri"/>
          <w:sz w:val="20"/>
          <w:lang w:val="en-CA" w:eastAsia="en-CA"/>
        </w:rPr>
        <w:t xml:space="preserve"> Factor value site. In combination, these factors make the Licence area at Como Lake a good quality target for further exploration. To further assess this target area, the company is preparing at minimum three VLF‐EM ground survey lines</w:t>
      </w:r>
      <w:r>
        <w:rPr>
          <w:rFonts w:eastAsia="Calibri"/>
          <w:sz w:val="20"/>
          <w:lang w:val="en-CA" w:eastAsia="en-CA"/>
        </w:rPr>
        <w:t xml:space="preserve"> </w:t>
      </w:r>
      <w:r w:rsidRPr="004427A8">
        <w:rPr>
          <w:rFonts w:eastAsia="Calibri"/>
          <w:sz w:val="20"/>
          <w:lang w:val="en-CA" w:eastAsia="en-CA"/>
        </w:rPr>
        <w:t>initially be completed along north‐south traverses across the property to ground‐locate conductive zones detected by the earlier airborne and ground VLF‐EM surveys. Line spacing is between 400 and 500 m and line lengths are approximately 1 km. Results of the ground VLF‐EM survey should aid in outlining underlying fold structures and assist in focusing future RC drilling traverses</w:t>
      </w:r>
      <w:r>
        <w:rPr>
          <w:rFonts w:eastAsia="Calibri"/>
          <w:sz w:val="20"/>
          <w:lang w:val="en-CA" w:eastAsia="en-CA"/>
        </w:rPr>
        <w:t>.</w:t>
      </w:r>
    </w:p>
    <w:p w14:paraId="590E22AC" w14:textId="77777777" w:rsidR="006B13BF" w:rsidRDefault="006B13BF" w:rsidP="006B13BF">
      <w:pPr>
        <w:widowControl/>
        <w:autoSpaceDE w:val="0"/>
        <w:autoSpaceDN w:val="0"/>
        <w:adjustRightInd w:val="0"/>
        <w:jc w:val="both"/>
        <w:rPr>
          <w:b/>
          <w:bCs/>
          <w:spacing w:val="-2"/>
          <w:sz w:val="20"/>
        </w:rPr>
      </w:pPr>
      <w:r>
        <w:rPr>
          <w:rFonts w:eastAsia="Calibri"/>
          <w:b/>
          <w:bCs/>
          <w:sz w:val="20"/>
          <w:lang w:val="en-CA" w:eastAsia="en-CA"/>
        </w:rPr>
        <w:br w:type="page"/>
      </w:r>
      <w:r w:rsidRPr="0058706D">
        <w:rPr>
          <w:b/>
          <w:bCs/>
          <w:spacing w:val="-2"/>
          <w:sz w:val="20"/>
        </w:rPr>
        <w:lastRenderedPageBreak/>
        <w:t xml:space="preserve">EXPLORATION AND DEVELOPMENT </w:t>
      </w:r>
      <w:proofErr w:type="gramStart"/>
      <w:r w:rsidRPr="0058706D">
        <w:rPr>
          <w:b/>
          <w:bCs/>
          <w:spacing w:val="-2"/>
          <w:sz w:val="20"/>
        </w:rPr>
        <w:t>STRATEGY(</w:t>
      </w:r>
      <w:proofErr w:type="gramEnd"/>
      <w:r w:rsidRPr="0058706D">
        <w:rPr>
          <w:b/>
          <w:bCs/>
          <w:spacing w:val="-2"/>
          <w:sz w:val="20"/>
        </w:rPr>
        <w:t>CONTINUED)</w:t>
      </w:r>
    </w:p>
    <w:p w14:paraId="1551F6A6" w14:textId="7CCBC0D0" w:rsidR="00817810" w:rsidRDefault="00817810" w:rsidP="002D639F">
      <w:pPr>
        <w:widowControl/>
        <w:autoSpaceDE w:val="0"/>
        <w:autoSpaceDN w:val="0"/>
        <w:adjustRightInd w:val="0"/>
        <w:rPr>
          <w:rFonts w:eastAsia="Calibri"/>
          <w:b/>
          <w:bCs/>
          <w:sz w:val="20"/>
          <w:lang w:val="en-CA" w:eastAsia="en-CA"/>
        </w:rPr>
      </w:pPr>
    </w:p>
    <w:p w14:paraId="046FFBD3" w14:textId="77777777" w:rsidR="002D639F" w:rsidRPr="004427A8" w:rsidRDefault="002D639F" w:rsidP="002D639F">
      <w:pPr>
        <w:widowControl/>
        <w:autoSpaceDE w:val="0"/>
        <w:autoSpaceDN w:val="0"/>
        <w:adjustRightInd w:val="0"/>
        <w:rPr>
          <w:rFonts w:eastAsia="Calibri"/>
          <w:b/>
          <w:bCs/>
          <w:sz w:val="20"/>
          <w:lang w:val="en-CA" w:eastAsia="en-CA"/>
        </w:rPr>
      </w:pPr>
      <w:r w:rsidRPr="004427A8">
        <w:rPr>
          <w:rFonts w:eastAsia="Calibri"/>
          <w:b/>
          <w:bCs/>
          <w:sz w:val="20"/>
          <w:lang w:val="en-CA" w:eastAsia="en-CA"/>
        </w:rPr>
        <w:t>Kent Lake Target</w:t>
      </w:r>
    </w:p>
    <w:p w14:paraId="571C85FF" w14:textId="77777777" w:rsidR="002D639F" w:rsidRPr="004427A8" w:rsidRDefault="002D639F" w:rsidP="002D639F">
      <w:pPr>
        <w:widowControl/>
        <w:autoSpaceDE w:val="0"/>
        <w:autoSpaceDN w:val="0"/>
        <w:adjustRightInd w:val="0"/>
        <w:rPr>
          <w:rFonts w:eastAsia="Calibri"/>
          <w:sz w:val="20"/>
          <w:lang w:val="en-CA" w:eastAsia="en-CA"/>
        </w:rPr>
      </w:pPr>
    </w:p>
    <w:p w14:paraId="7C4D7840" w14:textId="77777777" w:rsidR="002D639F" w:rsidRDefault="002D639F" w:rsidP="002D639F">
      <w:pPr>
        <w:widowControl/>
        <w:autoSpaceDE w:val="0"/>
        <w:autoSpaceDN w:val="0"/>
        <w:adjustRightInd w:val="0"/>
        <w:jc w:val="both"/>
        <w:rPr>
          <w:rFonts w:eastAsia="Calibri"/>
          <w:sz w:val="20"/>
          <w:lang w:val="en-CA" w:eastAsia="en-CA"/>
        </w:rPr>
      </w:pPr>
      <w:proofErr w:type="gramStart"/>
      <w:r w:rsidRPr="004427A8">
        <w:rPr>
          <w:rFonts w:eastAsia="Calibri"/>
          <w:sz w:val="20"/>
          <w:lang w:val="en-CA" w:eastAsia="en-CA"/>
        </w:rPr>
        <w:t>The Kent Lake target area centered in the Rocky Brook Lake and Kent Lake area of Halifax County, NS.</w:t>
      </w:r>
      <w:proofErr w:type="gramEnd"/>
      <w:r w:rsidRPr="004427A8">
        <w:rPr>
          <w:rFonts w:eastAsia="Calibri"/>
          <w:sz w:val="20"/>
          <w:lang w:val="en-CA" w:eastAsia="en-CA"/>
        </w:rPr>
        <w:t xml:space="preserve"> The licence area is approximately a 30 minute drive from Sheet Harbour on the eastern shore of Nova Scotia and can be easily accessed via highway 224 and then by a forestry road network that trends north and east from highway 224 in the Beaver Dam area. The Licence consists of 71 claims covering 1,149 hectares. The licence area is approximately 5.5 km west of the Beaver Dam gold deposit</w:t>
      </w:r>
      <w:r>
        <w:rPr>
          <w:rFonts w:eastAsia="Calibri"/>
          <w:sz w:val="20"/>
          <w:lang w:val="en-CA" w:eastAsia="en-CA"/>
        </w:rPr>
        <w:t xml:space="preserve">. </w:t>
      </w:r>
      <w:r w:rsidRPr="004427A8">
        <w:rPr>
          <w:rFonts w:eastAsia="Calibri"/>
          <w:sz w:val="20"/>
          <w:lang w:val="en-CA" w:eastAsia="en-CA"/>
        </w:rPr>
        <w:t xml:space="preserve">The company collected 65 rock samples from the Licence area during the 2018 field season and these were analyzed by XRF to allow application of </w:t>
      </w:r>
      <w:proofErr w:type="spellStart"/>
      <w:r w:rsidRPr="004427A8">
        <w:rPr>
          <w:rFonts w:eastAsia="Calibri"/>
          <w:sz w:val="20"/>
          <w:lang w:val="en-CA" w:eastAsia="en-CA"/>
        </w:rPr>
        <w:t>MegumaGold’s</w:t>
      </w:r>
      <w:proofErr w:type="spellEnd"/>
      <w:r w:rsidRPr="004427A8">
        <w:rPr>
          <w:rFonts w:eastAsia="Calibri"/>
          <w:sz w:val="20"/>
          <w:lang w:val="en-CA" w:eastAsia="en-CA"/>
        </w:rPr>
        <w:t xml:space="preserve">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Factor.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w:t>
      </w:r>
      <w:r>
        <w:rPr>
          <w:rFonts w:eastAsia="Calibri"/>
          <w:sz w:val="20"/>
          <w:lang w:val="en-CA" w:eastAsia="en-CA"/>
        </w:rPr>
        <w:t>F</w:t>
      </w:r>
      <w:r w:rsidRPr="004427A8">
        <w:rPr>
          <w:rFonts w:eastAsia="Calibri"/>
          <w:sz w:val="20"/>
          <w:lang w:val="en-CA" w:eastAsia="en-CA"/>
        </w:rPr>
        <w:t xml:space="preserve">actor results were also calculated for multielement data available for earlier rotary percussion or RC drilling programs completed in and around the area by others. Analysis of data from the field program results define an anomaly in eight outcrop samples within which seven samples have low (positive) Touquoy alteration geochemical scores and one had a high (positive) score. Analysis by the company in 2018 of associated DDV drill chip multi‐element data shows that eight of the interface holes within the Licence are also characterized by low (positive)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Factor scores. Grouping of results occurs along the central and northern airborne magnetic survey trends that cross the property and these are candidates for possible Beaver Dam deposit host stratigraphy extensions. The combined factor scores indicate at least local presence of alteration similar to that seen in the outer alteration halo of the Touquoy gold deposit. Factor scores are significantly lower than those that characterize the</w:t>
      </w:r>
      <w:r>
        <w:rPr>
          <w:rFonts w:eastAsia="Calibri"/>
          <w:sz w:val="20"/>
          <w:lang w:val="en-CA" w:eastAsia="en-CA"/>
        </w:rPr>
        <w:t xml:space="preserve"> </w:t>
      </w:r>
      <w:r w:rsidRPr="004427A8">
        <w:rPr>
          <w:rFonts w:eastAsia="Calibri"/>
          <w:sz w:val="20"/>
          <w:lang w:val="en-CA" w:eastAsia="en-CA"/>
        </w:rPr>
        <w:t>main mineralized zone at the Touquoy deposit.</w:t>
      </w:r>
    </w:p>
    <w:p w14:paraId="430B2FAD" w14:textId="77777777" w:rsidR="002D639F" w:rsidRDefault="002D639F" w:rsidP="002D639F">
      <w:pPr>
        <w:widowControl/>
        <w:autoSpaceDE w:val="0"/>
        <w:autoSpaceDN w:val="0"/>
        <w:adjustRightInd w:val="0"/>
        <w:jc w:val="both"/>
        <w:rPr>
          <w:rFonts w:eastAsia="Calibri"/>
          <w:sz w:val="20"/>
          <w:lang w:val="en-CA" w:eastAsia="en-CA"/>
        </w:rPr>
      </w:pPr>
    </w:p>
    <w:p w14:paraId="1F30E694" w14:textId="77777777" w:rsidR="002D639F" w:rsidRDefault="002D639F" w:rsidP="002D639F">
      <w:pPr>
        <w:widowControl/>
        <w:autoSpaceDE w:val="0"/>
        <w:autoSpaceDN w:val="0"/>
        <w:adjustRightInd w:val="0"/>
        <w:jc w:val="both"/>
        <w:rPr>
          <w:rFonts w:eastAsia="Calibri"/>
          <w:sz w:val="20"/>
          <w:lang w:val="en-CA" w:eastAsia="en-CA"/>
        </w:rPr>
      </w:pPr>
      <w:r w:rsidRPr="004427A8">
        <w:rPr>
          <w:rFonts w:eastAsia="Calibri"/>
          <w:sz w:val="20"/>
          <w:lang w:val="en-CA" w:eastAsia="en-CA"/>
        </w:rPr>
        <w:t>The Kent Lake target area is well positioned within Atlantic Gold’s “Corridor” regional program area and on the north side of the limits of the favourable, argillite‐dominated Moose River Formation and Fifteen Mile Stream Formation. Coincident aeromagnetic high trends, airborne VLF‐EM conductors and the interpreted Moose River‐ Beaver Dam‐Fifteen Mile Stream anticlinal trend all cross Meguma Gold’s Licence and enhance its exploration potential.</w:t>
      </w:r>
    </w:p>
    <w:p w14:paraId="320A705E" w14:textId="77777777" w:rsidR="002D639F" w:rsidRDefault="002D639F" w:rsidP="002D639F">
      <w:pPr>
        <w:widowControl/>
        <w:autoSpaceDE w:val="0"/>
        <w:autoSpaceDN w:val="0"/>
        <w:adjustRightInd w:val="0"/>
        <w:jc w:val="both"/>
        <w:rPr>
          <w:rFonts w:eastAsia="Calibri"/>
          <w:sz w:val="20"/>
          <w:lang w:val="en-CA" w:eastAsia="en-CA"/>
        </w:rPr>
      </w:pPr>
    </w:p>
    <w:p w14:paraId="55858D41" w14:textId="338BB10E" w:rsidR="002D639F" w:rsidRDefault="002D639F" w:rsidP="002D639F">
      <w:pPr>
        <w:widowControl/>
        <w:autoSpaceDE w:val="0"/>
        <w:autoSpaceDN w:val="0"/>
        <w:adjustRightInd w:val="0"/>
        <w:spacing w:after="120"/>
        <w:jc w:val="both"/>
        <w:rPr>
          <w:rFonts w:eastAsia="Calibri"/>
          <w:sz w:val="20"/>
          <w:lang w:val="en-CA" w:eastAsia="en-CA"/>
        </w:rPr>
      </w:pPr>
      <w:r w:rsidRPr="004427A8">
        <w:rPr>
          <w:rFonts w:eastAsia="Calibri"/>
          <w:sz w:val="20"/>
          <w:lang w:val="en-CA" w:eastAsia="en-CA"/>
        </w:rPr>
        <w:t xml:space="preserve">The company plans to acquire new VLF‐EM ground survey data along north south survey lines that cross the property. Line spacing ranges from 250 to 1,000 m and line lengths range from approximately 750 to 2,000 m. Results of the ground VLF‐EM survey will aid in outlining the trends of fold structures that are interpreted to be present on the property and thereby contribute to positioning of the proposed subsequent RC drilling traverses. </w:t>
      </w:r>
    </w:p>
    <w:p w14:paraId="67C7B0EC" w14:textId="77777777" w:rsidR="002D639F" w:rsidRDefault="002D639F" w:rsidP="002D639F">
      <w:pPr>
        <w:widowControl/>
        <w:autoSpaceDE w:val="0"/>
        <w:autoSpaceDN w:val="0"/>
        <w:adjustRightInd w:val="0"/>
        <w:spacing w:after="120"/>
        <w:jc w:val="both"/>
        <w:rPr>
          <w:rFonts w:eastAsia="Calibri"/>
          <w:b/>
          <w:bCs/>
          <w:sz w:val="20"/>
          <w:lang w:val="en-CA" w:eastAsia="en-CA"/>
        </w:rPr>
      </w:pPr>
      <w:bookmarkStart w:id="3" w:name="_Hlk24621864"/>
      <w:r w:rsidRPr="004427A8">
        <w:rPr>
          <w:rFonts w:eastAsia="Calibri"/>
          <w:b/>
          <w:bCs/>
          <w:sz w:val="20"/>
          <w:lang w:val="en-CA" w:eastAsia="en-CA"/>
        </w:rPr>
        <w:t>Gold Lake Target</w:t>
      </w:r>
    </w:p>
    <w:bookmarkEnd w:id="3"/>
    <w:p w14:paraId="1ECE4356" w14:textId="4126222D" w:rsidR="006B13BF" w:rsidRDefault="002D639F" w:rsidP="002D639F">
      <w:pPr>
        <w:widowControl/>
        <w:autoSpaceDE w:val="0"/>
        <w:autoSpaceDN w:val="0"/>
        <w:adjustRightInd w:val="0"/>
        <w:jc w:val="both"/>
        <w:rPr>
          <w:rFonts w:eastAsia="Calibri"/>
          <w:sz w:val="20"/>
          <w:lang w:val="en-CA" w:eastAsia="en-CA"/>
        </w:rPr>
      </w:pPr>
      <w:r w:rsidRPr="004427A8">
        <w:rPr>
          <w:rFonts w:eastAsia="Calibri"/>
          <w:sz w:val="20"/>
          <w:lang w:val="en-CA" w:eastAsia="en-CA"/>
        </w:rPr>
        <w:t xml:space="preserve">The Gold Lake target area Mineral Exploration Licences are located in central Nova Scotia, approximately 20 km south of the community of Middle </w:t>
      </w:r>
      <w:proofErr w:type="spellStart"/>
      <w:r w:rsidRPr="004427A8">
        <w:rPr>
          <w:rFonts w:eastAsia="Calibri"/>
          <w:sz w:val="20"/>
          <w:lang w:val="en-CA" w:eastAsia="en-CA"/>
        </w:rPr>
        <w:t>Musquodoboit</w:t>
      </w:r>
      <w:proofErr w:type="spellEnd"/>
      <w:r w:rsidRPr="004427A8">
        <w:rPr>
          <w:rFonts w:eastAsia="Calibri"/>
          <w:sz w:val="20"/>
          <w:lang w:val="en-CA" w:eastAsia="en-CA"/>
        </w:rPr>
        <w:t xml:space="preserve"> and 60 km northeast of the city of Halifax. It is most readily accessed via the </w:t>
      </w:r>
      <w:proofErr w:type="spellStart"/>
      <w:r w:rsidRPr="004427A8">
        <w:rPr>
          <w:rFonts w:eastAsia="Calibri"/>
          <w:sz w:val="20"/>
          <w:lang w:val="en-CA" w:eastAsia="en-CA"/>
        </w:rPr>
        <w:t>Murchyville</w:t>
      </w:r>
      <w:proofErr w:type="spellEnd"/>
      <w:r w:rsidRPr="004427A8">
        <w:rPr>
          <w:rFonts w:eastAsia="Calibri"/>
          <w:sz w:val="20"/>
          <w:lang w:val="en-CA" w:eastAsia="en-CA"/>
        </w:rPr>
        <w:t xml:space="preserve"> forestry road network that extends from that community, approximately 7 km south of Middle </w:t>
      </w:r>
      <w:proofErr w:type="spellStart"/>
      <w:r w:rsidRPr="004427A8">
        <w:rPr>
          <w:rFonts w:eastAsia="Calibri"/>
          <w:sz w:val="20"/>
          <w:lang w:val="en-CA" w:eastAsia="en-CA"/>
        </w:rPr>
        <w:t>Musquodoboit</w:t>
      </w:r>
      <w:proofErr w:type="spellEnd"/>
      <w:r w:rsidRPr="004427A8">
        <w:rPr>
          <w:rFonts w:eastAsia="Calibri"/>
          <w:sz w:val="20"/>
          <w:lang w:val="en-CA" w:eastAsia="en-CA"/>
        </w:rPr>
        <w:t xml:space="preserve">, to the community of Mooseland, approximately 40 km to the east. The main forestry road crosses the claim group and various secondary roads and trails provide access to the extents of the property. The area can also be accessed from Tangier, on the eastern shore of Nova Scotia, by traveling north on Mooseland Road approximately 20 km to the community of Mooseland and then west 17 km along the main forestry road to the Gold Lake area. The property is situated on the Gold Lake‐Killag‐Goldenville anticline that trends north-easterly in this area. Historical gold mining and exploration have been focused on the east side of Gold Lake, on an adjacent mineral exploration property.  Historic ground magnetometer, induced polarization (IP) and VLF‐EM survey data are available for the east and west sides of Gold Lake. One VLF‐EM conductor defined by historic ground surveys is coincident with both the anticlinal hinge zone at Gold Lake and the previously explored “Iron Lead” on the east side of the lake. The conductor trend extends from the east side of the lake to the substantially less‐explored west side that is covered by the MegumaGold licence. Notably, the VLF‐EM conductor is coincident with a small, untested magnetometer survey high on the </w:t>
      </w:r>
      <w:proofErr w:type="gramStart"/>
      <w:r w:rsidRPr="004427A8">
        <w:rPr>
          <w:rFonts w:eastAsia="Calibri"/>
          <w:sz w:val="20"/>
          <w:lang w:val="en-CA" w:eastAsia="en-CA"/>
        </w:rPr>
        <w:t>licence,</w:t>
      </w:r>
      <w:r w:rsidR="0084253D">
        <w:rPr>
          <w:rFonts w:eastAsia="Calibri"/>
          <w:sz w:val="20"/>
          <w:lang w:val="en-CA" w:eastAsia="en-CA"/>
        </w:rPr>
        <w:t xml:space="preserve"> </w:t>
      </w:r>
      <w:r w:rsidRPr="004427A8">
        <w:rPr>
          <w:rFonts w:eastAsia="Calibri"/>
          <w:sz w:val="20"/>
          <w:lang w:val="en-CA" w:eastAsia="en-CA"/>
        </w:rPr>
        <w:t>that</w:t>
      </w:r>
      <w:proofErr w:type="gramEnd"/>
      <w:r w:rsidRPr="004427A8">
        <w:rPr>
          <w:rFonts w:eastAsia="Calibri"/>
          <w:sz w:val="20"/>
          <w:lang w:val="en-CA" w:eastAsia="en-CA"/>
        </w:rPr>
        <w:t xml:space="preserve"> is located approximately 1 km west of the lake. The Company carried out a limited program of outcrop sampling on the company’s claims west of Gold Lake during the 2018 field season and samples were submitted for in‐house XRF analysis. XRF results produced low to moderate </w:t>
      </w:r>
      <w:proofErr w:type="spellStart"/>
      <w:r w:rsidRPr="004427A8">
        <w:rPr>
          <w:rFonts w:eastAsia="Calibri"/>
          <w:sz w:val="20"/>
          <w:lang w:val="en-CA" w:eastAsia="en-CA"/>
        </w:rPr>
        <w:t>Touquoy</w:t>
      </w:r>
      <w:proofErr w:type="spellEnd"/>
      <w:r w:rsidRPr="004427A8">
        <w:rPr>
          <w:rFonts w:eastAsia="Calibri"/>
          <w:sz w:val="20"/>
          <w:lang w:val="en-CA" w:eastAsia="en-CA"/>
        </w:rPr>
        <w:t xml:space="preserve"> </w:t>
      </w:r>
      <w:proofErr w:type="spellStart"/>
      <w:r w:rsidRPr="004427A8">
        <w:rPr>
          <w:rFonts w:eastAsia="Calibri"/>
          <w:sz w:val="20"/>
          <w:lang w:val="en-CA" w:eastAsia="en-CA"/>
        </w:rPr>
        <w:t>Lithogeochemical</w:t>
      </w:r>
      <w:proofErr w:type="spellEnd"/>
      <w:r w:rsidRPr="004427A8">
        <w:rPr>
          <w:rFonts w:eastAsia="Calibri"/>
          <w:sz w:val="20"/>
          <w:lang w:val="en-CA" w:eastAsia="en-CA"/>
        </w:rPr>
        <w:t xml:space="preserve"> Factor scores for these samples. The main exploration opportunity presented by the Gold Lake property is for discovery of well</w:t>
      </w:r>
      <w:r>
        <w:rPr>
          <w:rFonts w:eastAsia="Calibri"/>
          <w:sz w:val="20"/>
          <w:lang w:val="en-CA" w:eastAsia="en-CA"/>
        </w:rPr>
        <w:t>-</w:t>
      </w:r>
      <w:r w:rsidRPr="004427A8">
        <w:rPr>
          <w:rFonts w:eastAsia="Calibri"/>
          <w:sz w:val="20"/>
          <w:lang w:val="en-CA" w:eastAsia="en-CA"/>
        </w:rPr>
        <w:t xml:space="preserve">developed gold mineralization in the hinge zone of the main anticline that crosses the property. In the best case, this would take the form of gold‐bearing quartz saddle veins, leg veins and bedding parallel veins that occur in association with structurally thickened, altered and gold mineralized argillite units in the core of the anticline. </w:t>
      </w:r>
    </w:p>
    <w:p w14:paraId="4367B69F" w14:textId="77777777" w:rsidR="006B13BF" w:rsidRDefault="006B13BF" w:rsidP="006B13BF">
      <w:pPr>
        <w:widowControl/>
        <w:autoSpaceDE w:val="0"/>
        <w:autoSpaceDN w:val="0"/>
        <w:adjustRightInd w:val="0"/>
        <w:jc w:val="both"/>
        <w:rPr>
          <w:b/>
          <w:bCs/>
          <w:spacing w:val="-2"/>
          <w:sz w:val="20"/>
        </w:rPr>
      </w:pPr>
      <w:r w:rsidRPr="0058706D">
        <w:rPr>
          <w:b/>
          <w:bCs/>
          <w:spacing w:val="-2"/>
          <w:sz w:val="20"/>
        </w:rPr>
        <w:lastRenderedPageBreak/>
        <w:t xml:space="preserve">EXPLORATION AND DEVELOPMENT </w:t>
      </w:r>
      <w:proofErr w:type="gramStart"/>
      <w:r w:rsidRPr="0058706D">
        <w:rPr>
          <w:b/>
          <w:bCs/>
          <w:spacing w:val="-2"/>
          <w:sz w:val="20"/>
        </w:rPr>
        <w:t>STRATEGY(</w:t>
      </w:r>
      <w:proofErr w:type="gramEnd"/>
      <w:r w:rsidRPr="0058706D">
        <w:rPr>
          <w:b/>
          <w:bCs/>
          <w:spacing w:val="-2"/>
          <w:sz w:val="20"/>
        </w:rPr>
        <w:t>CONTINUED)</w:t>
      </w:r>
    </w:p>
    <w:p w14:paraId="086D7315" w14:textId="0FFC68F0" w:rsidR="006B13BF" w:rsidRDefault="006B13BF" w:rsidP="002D639F">
      <w:pPr>
        <w:widowControl/>
        <w:autoSpaceDE w:val="0"/>
        <w:autoSpaceDN w:val="0"/>
        <w:adjustRightInd w:val="0"/>
        <w:jc w:val="both"/>
        <w:rPr>
          <w:rFonts w:eastAsia="Calibri"/>
          <w:sz w:val="20"/>
          <w:lang w:val="en-CA" w:eastAsia="en-CA"/>
        </w:rPr>
      </w:pPr>
    </w:p>
    <w:p w14:paraId="618A7228" w14:textId="51255DA0" w:rsidR="006B13BF" w:rsidRDefault="006B13BF" w:rsidP="006B13BF">
      <w:pPr>
        <w:widowControl/>
        <w:autoSpaceDE w:val="0"/>
        <w:autoSpaceDN w:val="0"/>
        <w:adjustRightInd w:val="0"/>
        <w:spacing w:after="120"/>
        <w:jc w:val="both"/>
        <w:rPr>
          <w:rFonts w:eastAsia="Calibri"/>
          <w:b/>
          <w:bCs/>
          <w:sz w:val="20"/>
          <w:lang w:val="en-CA" w:eastAsia="en-CA"/>
        </w:rPr>
      </w:pPr>
      <w:r w:rsidRPr="004427A8">
        <w:rPr>
          <w:rFonts w:eastAsia="Calibri"/>
          <w:b/>
          <w:bCs/>
          <w:sz w:val="20"/>
          <w:lang w:val="en-CA" w:eastAsia="en-CA"/>
        </w:rPr>
        <w:t>Gold Lake Target</w:t>
      </w:r>
      <w:r>
        <w:rPr>
          <w:rFonts w:eastAsia="Calibri"/>
          <w:b/>
          <w:bCs/>
          <w:sz w:val="20"/>
          <w:lang w:val="en-CA" w:eastAsia="en-CA"/>
        </w:rPr>
        <w:t xml:space="preserve"> (Continued)</w:t>
      </w:r>
    </w:p>
    <w:p w14:paraId="72DB44DE" w14:textId="6400A958" w:rsidR="002D639F" w:rsidRDefault="002D639F" w:rsidP="002D639F">
      <w:pPr>
        <w:widowControl/>
        <w:autoSpaceDE w:val="0"/>
        <w:autoSpaceDN w:val="0"/>
        <w:adjustRightInd w:val="0"/>
        <w:jc w:val="both"/>
        <w:rPr>
          <w:rFonts w:eastAsia="Calibri"/>
          <w:sz w:val="20"/>
          <w:lang w:val="en-CA" w:eastAsia="en-CA"/>
        </w:rPr>
      </w:pPr>
      <w:r w:rsidRPr="004427A8">
        <w:rPr>
          <w:rFonts w:eastAsia="Calibri"/>
          <w:sz w:val="20"/>
          <w:lang w:val="en-CA" w:eastAsia="en-CA"/>
        </w:rPr>
        <w:t>This style of composite mineralization can be considered similar to some</w:t>
      </w:r>
      <w:r w:rsidR="006B13BF">
        <w:rPr>
          <w:rFonts w:eastAsia="Calibri"/>
          <w:sz w:val="20"/>
          <w:lang w:val="en-CA" w:eastAsia="en-CA"/>
        </w:rPr>
        <w:t xml:space="preserve"> </w:t>
      </w:r>
      <w:r w:rsidRPr="004427A8">
        <w:rPr>
          <w:rFonts w:eastAsia="Calibri"/>
          <w:sz w:val="20"/>
          <w:lang w:val="en-CA" w:eastAsia="en-CA"/>
        </w:rPr>
        <w:t xml:space="preserve">mineralized settings defined to date at Anaconda Mining’s Goldboro deposit to the east and, possibly, in some parts of </w:t>
      </w:r>
      <w:r>
        <w:rPr>
          <w:rFonts w:eastAsia="Calibri"/>
          <w:sz w:val="20"/>
          <w:lang w:val="en-CA" w:eastAsia="en-CA"/>
        </w:rPr>
        <w:t xml:space="preserve"> St Barbara’s</w:t>
      </w:r>
      <w:r w:rsidRPr="004427A8">
        <w:rPr>
          <w:rFonts w:eastAsia="Calibri"/>
          <w:sz w:val="20"/>
          <w:lang w:val="en-CA" w:eastAsia="en-CA"/>
        </w:rPr>
        <w:t xml:space="preserve"> Fifteen Mile Stream deposit to the northeast. </w:t>
      </w:r>
    </w:p>
    <w:p w14:paraId="60EDF182" w14:textId="77777777" w:rsidR="002D639F" w:rsidRDefault="002D639F" w:rsidP="002D639F">
      <w:pPr>
        <w:widowControl/>
        <w:autoSpaceDE w:val="0"/>
        <w:autoSpaceDN w:val="0"/>
        <w:adjustRightInd w:val="0"/>
        <w:jc w:val="both"/>
        <w:rPr>
          <w:rFonts w:eastAsia="Calibri"/>
          <w:sz w:val="20"/>
          <w:lang w:val="en-CA" w:eastAsia="en-CA"/>
        </w:rPr>
      </w:pPr>
    </w:p>
    <w:p w14:paraId="2356E19E" w14:textId="77777777" w:rsidR="002D639F" w:rsidRDefault="002D639F" w:rsidP="002D639F">
      <w:pPr>
        <w:widowControl/>
        <w:autoSpaceDE w:val="0"/>
        <w:autoSpaceDN w:val="0"/>
        <w:adjustRightInd w:val="0"/>
        <w:jc w:val="both"/>
        <w:rPr>
          <w:rFonts w:eastAsia="Calibri"/>
          <w:sz w:val="20"/>
          <w:lang w:val="en-CA" w:eastAsia="en-CA"/>
        </w:rPr>
      </w:pPr>
      <w:r w:rsidRPr="004427A8">
        <w:rPr>
          <w:rFonts w:eastAsia="Calibri"/>
          <w:sz w:val="20"/>
          <w:lang w:val="en-CA" w:eastAsia="en-CA"/>
        </w:rPr>
        <w:t>The Company</w:t>
      </w:r>
      <w:r w:rsidR="00263F52">
        <w:rPr>
          <w:rFonts w:eastAsia="Calibri"/>
          <w:sz w:val="20"/>
          <w:lang w:val="en-CA" w:eastAsia="en-CA"/>
        </w:rPr>
        <w:t>’</w:t>
      </w:r>
      <w:r w:rsidRPr="004427A8">
        <w:rPr>
          <w:rFonts w:eastAsia="Calibri"/>
          <w:sz w:val="20"/>
          <w:lang w:val="en-CA" w:eastAsia="en-CA"/>
        </w:rPr>
        <w:t xml:space="preserve">s planned exploration approach is to complete several ground VLF‐EM survey transects across the trends of previously defined ground VLF‐EM survey conductors to confirm their locations. These conductors are interpreted as being generally coincident with the axial zone of the main anticlinal trend in this district, which is also the zone of highest perceived exploration potential. After completion of the ground VLF‐EM lines, the company is planning a reconnaissance line of reverse circulation (RC) drill holes be completed across the trace of the </w:t>
      </w:r>
      <w:r>
        <w:rPr>
          <w:rFonts w:eastAsia="Calibri"/>
          <w:sz w:val="20"/>
          <w:lang w:val="en-CA" w:eastAsia="en-CA"/>
        </w:rPr>
        <w:t>defined</w:t>
      </w:r>
      <w:r w:rsidRPr="004427A8">
        <w:rPr>
          <w:rFonts w:eastAsia="Calibri"/>
          <w:sz w:val="20"/>
          <w:lang w:val="en-CA" w:eastAsia="en-CA"/>
        </w:rPr>
        <w:t xml:space="preserve"> VLF‐EM conductors and the coincident, high resolution airborne magnetometer survey anomaly. The latter was defined by the company’s airborne survey of the property completed in 2018. The geological, geophysical and </w:t>
      </w:r>
      <w:proofErr w:type="spellStart"/>
      <w:r w:rsidRPr="004427A8">
        <w:rPr>
          <w:rFonts w:eastAsia="Calibri"/>
          <w:sz w:val="20"/>
          <w:lang w:val="en-CA" w:eastAsia="en-CA"/>
        </w:rPr>
        <w:t>lithogeochemistry</w:t>
      </w:r>
      <w:proofErr w:type="spellEnd"/>
      <w:r w:rsidRPr="004427A8">
        <w:rPr>
          <w:rFonts w:eastAsia="Calibri"/>
          <w:sz w:val="20"/>
          <w:lang w:val="en-CA" w:eastAsia="en-CA"/>
        </w:rPr>
        <w:t xml:space="preserve"> results at Gold Lake are interpreted as indicating the presence of a gold‐bearing alteration system on the property that may be associated with undiscovered gold mineralization. </w:t>
      </w:r>
    </w:p>
    <w:p w14:paraId="571A389F" w14:textId="77777777" w:rsidR="002D639F" w:rsidRDefault="002D639F" w:rsidP="002D639F">
      <w:pPr>
        <w:widowControl/>
        <w:autoSpaceDE w:val="0"/>
        <w:autoSpaceDN w:val="0"/>
        <w:adjustRightInd w:val="0"/>
        <w:jc w:val="both"/>
        <w:rPr>
          <w:rFonts w:eastAsia="Calibri"/>
          <w:b/>
          <w:bCs/>
          <w:sz w:val="20"/>
          <w:lang w:eastAsia="en-CA"/>
        </w:rPr>
      </w:pPr>
    </w:p>
    <w:p w14:paraId="23FB1DE1" w14:textId="77777777" w:rsidR="002D639F" w:rsidRPr="004427A8" w:rsidRDefault="002D639F" w:rsidP="002D639F">
      <w:pPr>
        <w:adjustRightInd w:val="0"/>
        <w:spacing w:after="120"/>
        <w:jc w:val="both"/>
        <w:rPr>
          <w:sz w:val="20"/>
        </w:rPr>
      </w:pPr>
      <w:r w:rsidRPr="004427A8">
        <w:rPr>
          <w:b/>
          <w:spacing w:val="-2"/>
          <w:sz w:val="20"/>
        </w:rPr>
        <w:t>Qualified Person</w:t>
      </w:r>
    </w:p>
    <w:p w14:paraId="73B60CB6" w14:textId="2DBD6420" w:rsidR="002D639F" w:rsidRDefault="002D639F" w:rsidP="002D639F">
      <w:pPr>
        <w:adjustRightInd w:val="0"/>
        <w:spacing w:after="120"/>
        <w:jc w:val="both"/>
        <w:rPr>
          <w:spacing w:val="-2"/>
          <w:sz w:val="20"/>
        </w:rPr>
      </w:pPr>
      <w:r w:rsidRPr="004427A8">
        <w:rPr>
          <w:spacing w:val="-2"/>
          <w:sz w:val="20"/>
        </w:rPr>
        <w:t>Mr. Fred Tejada, a Qualified Person within the meaning of National Instrument 43-101, and a director of the Company, has reviewed the technical information in this MD&amp;A.</w:t>
      </w:r>
    </w:p>
    <w:p w14:paraId="04BC2124" w14:textId="1C03709D" w:rsidR="00971438" w:rsidRPr="00F35544" w:rsidRDefault="00210E6F" w:rsidP="00AD747A">
      <w:pPr>
        <w:adjustRightInd w:val="0"/>
        <w:spacing w:after="120"/>
        <w:jc w:val="both"/>
        <w:rPr>
          <w:b/>
          <w:caps/>
          <w:sz w:val="20"/>
        </w:rPr>
      </w:pPr>
      <w:r>
        <w:rPr>
          <w:b/>
          <w:caps/>
          <w:sz w:val="20"/>
        </w:rPr>
        <w:t>C</w:t>
      </w:r>
      <w:r w:rsidR="00971438" w:rsidRPr="00F35544">
        <w:rPr>
          <w:b/>
          <w:caps/>
          <w:sz w:val="20"/>
        </w:rPr>
        <w:t>ONSOLIDATED RESULTS OF OPERATIONS</w:t>
      </w:r>
    </w:p>
    <w:p w14:paraId="40501375" w14:textId="77777777" w:rsidR="00971438" w:rsidRPr="00F35544" w:rsidRDefault="007D040E" w:rsidP="002E2257">
      <w:pPr>
        <w:adjustRightInd w:val="0"/>
        <w:spacing w:after="120"/>
        <w:jc w:val="both"/>
        <w:rPr>
          <w:sz w:val="20"/>
        </w:rPr>
      </w:pPr>
      <w:r w:rsidRPr="00F35544">
        <w:rPr>
          <w:sz w:val="20"/>
        </w:rPr>
        <w:t>All of the balances set out in this and following sections, including the Summary of quarterly results conform to IFRS standards.</w:t>
      </w:r>
    </w:p>
    <w:tbl>
      <w:tblPr>
        <w:tblW w:w="9288" w:type="dxa"/>
        <w:tblInd w:w="180" w:type="dxa"/>
        <w:tblLayout w:type="fixed"/>
        <w:tblLook w:val="00A0" w:firstRow="1" w:lastRow="0" w:firstColumn="1" w:lastColumn="0" w:noHBand="0" w:noVBand="0"/>
      </w:tblPr>
      <w:tblGrid>
        <w:gridCol w:w="5688"/>
        <w:gridCol w:w="450"/>
        <w:gridCol w:w="270"/>
        <w:gridCol w:w="1440"/>
        <w:gridCol w:w="1440"/>
      </w:tblGrid>
      <w:tr w:rsidR="004B4ED8" w:rsidRPr="00E6268F" w14:paraId="69A97EC9" w14:textId="77777777" w:rsidTr="004B4ED8">
        <w:trPr>
          <w:trHeight w:val="187"/>
        </w:trPr>
        <w:tc>
          <w:tcPr>
            <w:tcW w:w="5688" w:type="dxa"/>
            <w:tcBorders>
              <w:top w:val="double" w:sz="4" w:space="0" w:color="auto"/>
              <w:left w:val="nil"/>
              <w:right w:val="nil"/>
            </w:tcBorders>
            <w:shd w:val="clear" w:color="000000" w:fill="FFFFFF"/>
            <w:noWrap/>
            <w:vAlign w:val="bottom"/>
          </w:tcPr>
          <w:p w14:paraId="5B073DE1" w14:textId="77777777" w:rsidR="004B4ED8" w:rsidRPr="00E6268F" w:rsidRDefault="004B4ED8" w:rsidP="004B4ED8">
            <w:pPr>
              <w:widowControl/>
              <w:rPr>
                <w:b/>
                <w:sz w:val="20"/>
                <w:lang w:val="en-CA" w:eastAsia="en-CA"/>
              </w:rPr>
            </w:pPr>
            <w:bookmarkStart w:id="4" w:name="RANGE!A1:C36"/>
            <w:bookmarkEnd w:id="4"/>
          </w:p>
        </w:tc>
        <w:tc>
          <w:tcPr>
            <w:tcW w:w="450" w:type="dxa"/>
            <w:tcBorders>
              <w:top w:val="double" w:sz="4" w:space="0" w:color="auto"/>
              <w:left w:val="nil"/>
              <w:right w:val="nil"/>
            </w:tcBorders>
            <w:shd w:val="clear" w:color="000000" w:fill="FFFFFF"/>
            <w:vAlign w:val="bottom"/>
          </w:tcPr>
          <w:p w14:paraId="3FDDBA6E" w14:textId="77777777" w:rsidR="004B4ED8" w:rsidRPr="00E6268F" w:rsidRDefault="004B4ED8" w:rsidP="004B4ED8">
            <w:pPr>
              <w:widowControl/>
              <w:jc w:val="right"/>
              <w:rPr>
                <w:b/>
                <w:spacing w:val="-2"/>
                <w:sz w:val="20"/>
              </w:rPr>
            </w:pPr>
          </w:p>
        </w:tc>
        <w:tc>
          <w:tcPr>
            <w:tcW w:w="270" w:type="dxa"/>
            <w:tcBorders>
              <w:top w:val="double" w:sz="4" w:space="0" w:color="auto"/>
              <w:left w:val="nil"/>
              <w:right w:val="nil"/>
            </w:tcBorders>
            <w:shd w:val="clear" w:color="000000" w:fill="FFFFFF"/>
          </w:tcPr>
          <w:p w14:paraId="3845D1B2" w14:textId="77777777" w:rsidR="004B4ED8" w:rsidRPr="00E6268F" w:rsidRDefault="004B4ED8" w:rsidP="004B4ED8">
            <w:pPr>
              <w:widowControl/>
              <w:rPr>
                <w:sz w:val="20"/>
                <w:lang w:val="en-CA" w:eastAsia="en-CA"/>
              </w:rPr>
            </w:pPr>
          </w:p>
        </w:tc>
        <w:tc>
          <w:tcPr>
            <w:tcW w:w="1440" w:type="dxa"/>
            <w:tcBorders>
              <w:top w:val="double" w:sz="4" w:space="0" w:color="auto"/>
              <w:left w:val="nil"/>
              <w:right w:val="nil"/>
            </w:tcBorders>
            <w:shd w:val="clear" w:color="000000" w:fill="FFFFFF"/>
            <w:vAlign w:val="bottom"/>
          </w:tcPr>
          <w:p w14:paraId="6BE72C3C" w14:textId="77777777" w:rsidR="004149C8" w:rsidRDefault="004149C8" w:rsidP="004B4ED8">
            <w:pPr>
              <w:widowControl/>
              <w:jc w:val="right"/>
              <w:rPr>
                <w:b/>
                <w:spacing w:val="-2"/>
                <w:sz w:val="20"/>
              </w:rPr>
            </w:pPr>
            <w:r>
              <w:rPr>
                <w:b/>
                <w:spacing w:val="-2"/>
                <w:sz w:val="20"/>
              </w:rPr>
              <w:t>June 30</w:t>
            </w:r>
            <w:r w:rsidR="004B4ED8" w:rsidRPr="00E6268F">
              <w:rPr>
                <w:b/>
                <w:spacing w:val="-2"/>
                <w:sz w:val="20"/>
              </w:rPr>
              <w:t>,</w:t>
            </w:r>
          </w:p>
          <w:p w14:paraId="698A7B4B" w14:textId="268C3558" w:rsidR="004B4ED8" w:rsidRPr="00E6268F" w:rsidRDefault="004B4ED8" w:rsidP="004B4ED8">
            <w:pPr>
              <w:widowControl/>
              <w:jc w:val="right"/>
              <w:rPr>
                <w:b/>
                <w:spacing w:val="-2"/>
                <w:sz w:val="20"/>
              </w:rPr>
            </w:pPr>
            <w:r w:rsidRPr="00E6268F">
              <w:rPr>
                <w:b/>
                <w:spacing w:val="-2"/>
                <w:sz w:val="20"/>
              </w:rPr>
              <w:t xml:space="preserve"> 20</w:t>
            </w:r>
            <w:r>
              <w:rPr>
                <w:b/>
                <w:spacing w:val="-2"/>
                <w:sz w:val="20"/>
              </w:rPr>
              <w:t>20</w:t>
            </w:r>
          </w:p>
        </w:tc>
        <w:tc>
          <w:tcPr>
            <w:tcW w:w="1440" w:type="dxa"/>
            <w:tcBorders>
              <w:top w:val="double" w:sz="4" w:space="0" w:color="auto"/>
              <w:left w:val="nil"/>
              <w:right w:val="nil"/>
            </w:tcBorders>
            <w:shd w:val="clear" w:color="000000" w:fill="FFFFFF"/>
            <w:vAlign w:val="bottom"/>
          </w:tcPr>
          <w:p w14:paraId="3B3C8319" w14:textId="77777777" w:rsidR="004149C8" w:rsidRDefault="004149C8" w:rsidP="004B4ED8">
            <w:pPr>
              <w:widowControl/>
              <w:jc w:val="right"/>
              <w:rPr>
                <w:bCs/>
                <w:spacing w:val="-2"/>
                <w:sz w:val="20"/>
              </w:rPr>
            </w:pPr>
            <w:r>
              <w:rPr>
                <w:bCs/>
                <w:spacing w:val="-2"/>
                <w:sz w:val="20"/>
              </w:rPr>
              <w:t>June 30</w:t>
            </w:r>
            <w:r w:rsidR="004B4ED8" w:rsidRPr="004B4ED8">
              <w:rPr>
                <w:bCs/>
                <w:spacing w:val="-2"/>
                <w:sz w:val="20"/>
              </w:rPr>
              <w:t>,</w:t>
            </w:r>
          </w:p>
          <w:p w14:paraId="00A8E017" w14:textId="6F7D769E" w:rsidR="004B4ED8" w:rsidRPr="004B4ED8" w:rsidRDefault="004B4ED8" w:rsidP="004B4ED8">
            <w:pPr>
              <w:widowControl/>
              <w:jc w:val="right"/>
              <w:rPr>
                <w:bCs/>
                <w:spacing w:val="-2"/>
                <w:sz w:val="20"/>
              </w:rPr>
            </w:pPr>
            <w:r w:rsidRPr="004B4ED8">
              <w:rPr>
                <w:bCs/>
                <w:spacing w:val="-2"/>
                <w:sz w:val="20"/>
              </w:rPr>
              <w:t xml:space="preserve"> 2019</w:t>
            </w:r>
          </w:p>
        </w:tc>
      </w:tr>
      <w:tr w:rsidR="004B4ED8" w:rsidRPr="00E6268F" w14:paraId="30929CBF" w14:textId="77777777" w:rsidTr="004B4ED8">
        <w:trPr>
          <w:trHeight w:val="187"/>
        </w:trPr>
        <w:tc>
          <w:tcPr>
            <w:tcW w:w="5688" w:type="dxa"/>
            <w:tcBorders>
              <w:left w:val="nil"/>
              <w:bottom w:val="single" w:sz="4" w:space="0" w:color="auto"/>
              <w:right w:val="nil"/>
            </w:tcBorders>
            <w:shd w:val="clear" w:color="000000" w:fill="FFFFFF"/>
            <w:noWrap/>
            <w:vAlign w:val="bottom"/>
          </w:tcPr>
          <w:p w14:paraId="2671DA36" w14:textId="77777777" w:rsidR="004B4ED8" w:rsidRPr="00E6268F" w:rsidRDefault="004B4ED8" w:rsidP="004B4ED8">
            <w:pPr>
              <w:widowControl/>
              <w:rPr>
                <w:b/>
                <w:bCs/>
                <w:sz w:val="20"/>
                <w:lang w:val="en-CA" w:eastAsia="en-CA"/>
              </w:rPr>
            </w:pPr>
          </w:p>
        </w:tc>
        <w:tc>
          <w:tcPr>
            <w:tcW w:w="450" w:type="dxa"/>
            <w:tcBorders>
              <w:left w:val="nil"/>
              <w:bottom w:val="single" w:sz="4" w:space="0" w:color="auto"/>
              <w:right w:val="nil"/>
            </w:tcBorders>
            <w:shd w:val="clear" w:color="000000" w:fill="FFFFFF"/>
            <w:noWrap/>
            <w:vAlign w:val="bottom"/>
          </w:tcPr>
          <w:p w14:paraId="78CD0BDA" w14:textId="77777777" w:rsidR="004B4ED8" w:rsidRPr="00E6268F" w:rsidRDefault="004B4ED8" w:rsidP="004B4ED8">
            <w:pPr>
              <w:tabs>
                <w:tab w:val="decimal" w:pos="1062"/>
              </w:tabs>
              <w:jc w:val="right"/>
              <w:rPr>
                <w:b/>
                <w:spacing w:val="-2"/>
                <w:sz w:val="20"/>
              </w:rPr>
            </w:pPr>
          </w:p>
        </w:tc>
        <w:tc>
          <w:tcPr>
            <w:tcW w:w="270" w:type="dxa"/>
            <w:tcBorders>
              <w:left w:val="nil"/>
              <w:bottom w:val="single" w:sz="4" w:space="0" w:color="auto"/>
              <w:right w:val="nil"/>
            </w:tcBorders>
            <w:shd w:val="clear" w:color="000000" w:fill="FFFFFF"/>
          </w:tcPr>
          <w:p w14:paraId="6D4C99E9" w14:textId="77777777" w:rsidR="004B4ED8" w:rsidRPr="00E6268F" w:rsidRDefault="004B4ED8" w:rsidP="004B4ED8">
            <w:pPr>
              <w:widowControl/>
              <w:jc w:val="right"/>
              <w:rPr>
                <w:sz w:val="20"/>
                <w:lang w:val="en-CA" w:eastAsia="en-CA"/>
              </w:rPr>
            </w:pPr>
          </w:p>
        </w:tc>
        <w:tc>
          <w:tcPr>
            <w:tcW w:w="1440" w:type="dxa"/>
            <w:tcBorders>
              <w:left w:val="nil"/>
              <w:bottom w:val="single" w:sz="4" w:space="0" w:color="auto"/>
              <w:right w:val="nil"/>
            </w:tcBorders>
            <w:shd w:val="clear" w:color="000000" w:fill="FFFFFF"/>
            <w:vAlign w:val="bottom"/>
          </w:tcPr>
          <w:p w14:paraId="2EB97941" w14:textId="77777777" w:rsidR="004B4ED8" w:rsidRPr="00E6268F" w:rsidRDefault="004B4ED8" w:rsidP="004B4ED8">
            <w:pPr>
              <w:widowControl/>
              <w:jc w:val="right"/>
              <w:rPr>
                <w:spacing w:val="-2"/>
                <w:sz w:val="20"/>
              </w:rPr>
            </w:pPr>
            <w:r w:rsidRPr="00E6268F">
              <w:rPr>
                <w:b/>
                <w:spacing w:val="-2"/>
                <w:sz w:val="20"/>
              </w:rPr>
              <w:t>$</w:t>
            </w:r>
          </w:p>
        </w:tc>
        <w:tc>
          <w:tcPr>
            <w:tcW w:w="1440" w:type="dxa"/>
            <w:tcBorders>
              <w:left w:val="nil"/>
              <w:bottom w:val="single" w:sz="4" w:space="0" w:color="auto"/>
              <w:right w:val="nil"/>
            </w:tcBorders>
            <w:shd w:val="clear" w:color="000000" w:fill="FFFFFF"/>
            <w:vAlign w:val="bottom"/>
          </w:tcPr>
          <w:p w14:paraId="1C6D84F6" w14:textId="77777777" w:rsidR="004B4ED8" w:rsidRPr="004B4ED8" w:rsidRDefault="004B4ED8" w:rsidP="004B4ED8">
            <w:pPr>
              <w:widowControl/>
              <w:jc w:val="right"/>
              <w:rPr>
                <w:bCs/>
                <w:spacing w:val="-2"/>
                <w:sz w:val="20"/>
              </w:rPr>
            </w:pPr>
            <w:r w:rsidRPr="004B4ED8">
              <w:rPr>
                <w:bCs/>
                <w:spacing w:val="-2"/>
                <w:sz w:val="20"/>
              </w:rPr>
              <w:t>$</w:t>
            </w:r>
          </w:p>
        </w:tc>
      </w:tr>
      <w:tr w:rsidR="004B4ED8" w:rsidRPr="00E6268F" w14:paraId="792AB259" w14:textId="77777777" w:rsidTr="009029DB">
        <w:trPr>
          <w:trHeight w:val="187"/>
        </w:trPr>
        <w:tc>
          <w:tcPr>
            <w:tcW w:w="5688" w:type="dxa"/>
            <w:tcBorders>
              <w:top w:val="nil"/>
              <w:left w:val="nil"/>
              <w:bottom w:val="nil"/>
              <w:right w:val="nil"/>
            </w:tcBorders>
            <w:shd w:val="clear" w:color="000000" w:fill="FFFFFF"/>
            <w:noWrap/>
            <w:vAlign w:val="center"/>
          </w:tcPr>
          <w:p w14:paraId="03941AE4" w14:textId="77777777" w:rsidR="004B4ED8" w:rsidRPr="00E6268F" w:rsidRDefault="004B4ED8" w:rsidP="004B4ED8">
            <w:pPr>
              <w:ind w:firstLineChars="100" w:firstLine="200"/>
              <w:rPr>
                <w:sz w:val="20"/>
              </w:rPr>
            </w:pPr>
            <w:r w:rsidRPr="00E6268F">
              <w:rPr>
                <w:sz w:val="20"/>
              </w:rPr>
              <w:t>Professional fees</w:t>
            </w:r>
          </w:p>
        </w:tc>
        <w:tc>
          <w:tcPr>
            <w:tcW w:w="450" w:type="dxa"/>
            <w:tcBorders>
              <w:top w:val="nil"/>
              <w:left w:val="nil"/>
              <w:bottom w:val="nil"/>
              <w:right w:val="nil"/>
            </w:tcBorders>
            <w:shd w:val="clear" w:color="000000" w:fill="FFFFFF"/>
            <w:noWrap/>
            <w:vAlign w:val="bottom"/>
          </w:tcPr>
          <w:p w14:paraId="63D84596" w14:textId="77777777" w:rsidR="004B4ED8" w:rsidRPr="00E6268F" w:rsidRDefault="004B4ED8" w:rsidP="004B4ED8">
            <w:pPr>
              <w:tabs>
                <w:tab w:val="decimal" w:pos="697"/>
              </w:tabs>
              <w:jc w:val="right"/>
              <w:rPr>
                <w:b/>
                <w:spacing w:val="-2"/>
                <w:sz w:val="20"/>
              </w:rPr>
            </w:pPr>
          </w:p>
        </w:tc>
        <w:tc>
          <w:tcPr>
            <w:tcW w:w="270" w:type="dxa"/>
            <w:tcBorders>
              <w:top w:val="nil"/>
              <w:left w:val="nil"/>
              <w:bottom w:val="nil"/>
              <w:right w:val="nil"/>
            </w:tcBorders>
            <w:shd w:val="clear" w:color="000000" w:fill="FFFFFF"/>
            <w:vAlign w:val="bottom"/>
          </w:tcPr>
          <w:p w14:paraId="7AF28480" w14:textId="77777777" w:rsidR="004B4ED8" w:rsidRPr="00E6268F" w:rsidRDefault="004B4ED8" w:rsidP="004B4ED8">
            <w:pPr>
              <w:widowControl/>
              <w:jc w:val="right"/>
              <w:rPr>
                <w:spacing w:val="-2"/>
                <w:sz w:val="20"/>
              </w:rPr>
            </w:pPr>
          </w:p>
        </w:tc>
        <w:tc>
          <w:tcPr>
            <w:tcW w:w="1440" w:type="dxa"/>
            <w:tcBorders>
              <w:top w:val="nil"/>
              <w:left w:val="nil"/>
              <w:bottom w:val="nil"/>
              <w:right w:val="nil"/>
            </w:tcBorders>
            <w:shd w:val="clear" w:color="auto" w:fill="auto"/>
            <w:vAlign w:val="bottom"/>
          </w:tcPr>
          <w:p w14:paraId="44D209C0" w14:textId="197BD8B6" w:rsidR="004B4ED8" w:rsidRPr="00E6268F" w:rsidRDefault="004149C8" w:rsidP="004B4ED8">
            <w:pPr>
              <w:widowControl/>
              <w:jc w:val="right"/>
              <w:rPr>
                <w:b/>
                <w:spacing w:val="-2"/>
                <w:sz w:val="20"/>
              </w:rPr>
            </w:pPr>
            <w:r>
              <w:rPr>
                <w:b/>
                <w:spacing w:val="-2"/>
                <w:sz w:val="20"/>
              </w:rPr>
              <w:t>24,700</w:t>
            </w:r>
          </w:p>
        </w:tc>
        <w:tc>
          <w:tcPr>
            <w:tcW w:w="1440" w:type="dxa"/>
            <w:tcBorders>
              <w:top w:val="nil"/>
              <w:left w:val="nil"/>
              <w:bottom w:val="nil"/>
              <w:right w:val="nil"/>
            </w:tcBorders>
            <w:shd w:val="clear" w:color="000000" w:fill="FFFFFF"/>
            <w:vAlign w:val="bottom"/>
          </w:tcPr>
          <w:p w14:paraId="48CCF047" w14:textId="12135C59" w:rsidR="004B4ED8" w:rsidRPr="004B4ED8" w:rsidRDefault="004149C8" w:rsidP="004B4ED8">
            <w:pPr>
              <w:widowControl/>
              <w:jc w:val="right"/>
              <w:rPr>
                <w:bCs/>
                <w:spacing w:val="-2"/>
                <w:sz w:val="20"/>
              </w:rPr>
            </w:pPr>
            <w:r>
              <w:rPr>
                <w:bCs/>
                <w:spacing w:val="-2"/>
                <w:sz w:val="20"/>
              </w:rPr>
              <w:t>16,601</w:t>
            </w:r>
          </w:p>
        </w:tc>
      </w:tr>
      <w:tr w:rsidR="004B4ED8" w:rsidRPr="00E6268F" w14:paraId="4F440E71" w14:textId="77777777" w:rsidTr="009029DB">
        <w:trPr>
          <w:trHeight w:val="187"/>
        </w:trPr>
        <w:tc>
          <w:tcPr>
            <w:tcW w:w="5688" w:type="dxa"/>
            <w:tcBorders>
              <w:top w:val="nil"/>
              <w:left w:val="nil"/>
              <w:bottom w:val="nil"/>
              <w:right w:val="nil"/>
            </w:tcBorders>
            <w:shd w:val="clear" w:color="000000" w:fill="FFFFFF"/>
            <w:noWrap/>
            <w:vAlign w:val="center"/>
          </w:tcPr>
          <w:p w14:paraId="7609095F" w14:textId="77777777" w:rsidR="004B4ED8" w:rsidRPr="00E6268F" w:rsidRDefault="004B4ED8" w:rsidP="004B4ED8">
            <w:pPr>
              <w:ind w:firstLineChars="100" w:firstLine="200"/>
              <w:rPr>
                <w:i/>
                <w:sz w:val="20"/>
              </w:rPr>
            </w:pPr>
            <w:r w:rsidRPr="00E6268F">
              <w:rPr>
                <w:sz w:val="20"/>
              </w:rPr>
              <w:t xml:space="preserve">General and administrative </w:t>
            </w:r>
          </w:p>
        </w:tc>
        <w:tc>
          <w:tcPr>
            <w:tcW w:w="450" w:type="dxa"/>
            <w:tcBorders>
              <w:top w:val="nil"/>
              <w:left w:val="nil"/>
              <w:bottom w:val="nil"/>
              <w:right w:val="nil"/>
            </w:tcBorders>
            <w:shd w:val="clear" w:color="000000" w:fill="FFFFFF"/>
            <w:noWrap/>
            <w:vAlign w:val="bottom"/>
          </w:tcPr>
          <w:p w14:paraId="53B98A41" w14:textId="77777777" w:rsidR="004B4ED8" w:rsidRPr="00E6268F" w:rsidRDefault="004B4ED8" w:rsidP="004B4ED8">
            <w:pPr>
              <w:tabs>
                <w:tab w:val="decimal" w:pos="1062"/>
              </w:tabs>
              <w:jc w:val="right"/>
              <w:rPr>
                <w:b/>
                <w:spacing w:val="-2"/>
                <w:sz w:val="20"/>
              </w:rPr>
            </w:pPr>
          </w:p>
        </w:tc>
        <w:tc>
          <w:tcPr>
            <w:tcW w:w="270" w:type="dxa"/>
            <w:tcBorders>
              <w:top w:val="nil"/>
              <w:left w:val="nil"/>
              <w:bottom w:val="nil"/>
              <w:right w:val="nil"/>
            </w:tcBorders>
            <w:shd w:val="clear" w:color="000000" w:fill="FFFFFF"/>
            <w:vAlign w:val="bottom"/>
          </w:tcPr>
          <w:p w14:paraId="0FF9CC7D" w14:textId="77777777" w:rsidR="004B4ED8" w:rsidRPr="00E6268F" w:rsidRDefault="004B4ED8" w:rsidP="004B4ED8">
            <w:pPr>
              <w:widowControl/>
              <w:jc w:val="right"/>
              <w:rPr>
                <w:spacing w:val="-2"/>
                <w:sz w:val="20"/>
              </w:rPr>
            </w:pPr>
          </w:p>
        </w:tc>
        <w:tc>
          <w:tcPr>
            <w:tcW w:w="1440" w:type="dxa"/>
            <w:tcBorders>
              <w:top w:val="nil"/>
              <w:left w:val="nil"/>
              <w:bottom w:val="nil"/>
              <w:right w:val="nil"/>
            </w:tcBorders>
            <w:shd w:val="clear" w:color="auto" w:fill="auto"/>
            <w:vAlign w:val="bottom"/>
          </w:tcPr>
          <w:p w14:paraId="7D2687F6" w14:textId="54608682" w:rsidR="004B4ED8" w:rsidRPr="00E6268F" w:rsidRDefault="004149C8" w:rsidP="004B4ED8">
            <w:pPr>
              <w:widowControl/>
              <w:jc w:val="right"/>
              <w:rPr>
                <w:b/>
                <w:spacing w:val="-2"/>
                <w:sz w:val="20"/>
              </w:rPr>
            </w:pPr>
            <w:r>
              <w:rPr>
                <w:b/>
                <w:spacing w:val="-2"/>
                <w:sz w:val="20"/>
              </w:rPr>
              <w:t>5,325</w:t>
            </w:r>
          </w:p>
        </w:tc>
        <w:tc>
          <w:tcPr>
            <w:tcW w:w="1440" w:type="dxa"/>
            <w:tcBorders>
              <w:top w:val="nil"/>
              <w:left w:val="nil"/>
              <w:bottom w:val="nil"/>
              <w:right w:val="nil"/>
            </w:tcBorders>
            <w:shd w:val="clear" w:color="000000" w:fill="FFFFFF"/>
            <w:vAlign w:val="bottom"/>
          </w:tcPr>
          <w:p w14:paraId="4A3ADD2E" w14:textId="314BF165" w:rsidR="004B4ED8" w:rsidRPr="004B4ED8" w:rsidRDefault="004149C8" w:rsidP="004B4ED8">
            <w:pPr>
              <w:widowControl/>
              <w:jc w:val="right"/>
              <w:rPr>
                <w:bCs/>
                <w:spacing w:val="-2"/>
                <w:sz w:val="20"/>
              </w:rPr>
            </w:pPr>
            <w:r>
              <w:rPr>
                <w:bCs/>
                <w:spacing w:val="-2"/>
                <w:sz w:val="20"/>
              </w:rPr>
              <w:t>57,653</w:t>
            </w:r>
          </w:p>
        </w:tc>
      </w:tr>
      <w:tr w:rsidR="004B4ED8" w:rsidRPr="00E6268F" w14:paraId="1B65AC80" w14:textId="77777777" w:rsidTr="009029DB">
        <w:trPr>
          <w:trHeight w:val="187"/>
        </w:trPr>
        <w:tc>
          <w:tcPr>
            <w:tcW w:w="5688" w:type="dxa"/>
            <w:tcBorders>
              <w:top w:val="nil"/>
              <w:left w:val="nil"/>
              <w:bottom w:val="nil"/>
              <w:right w:val="nil"/>
            </w:tcBorders>
            <w:shd w:val="clear" w:color="000000" w:fill="FFFFFF"/>
            <w:noWrap/>
            <w:vAlign w:val="center"/>
          </w:tcPr>
          <w:p w14:paraId="00EAF200" w14:textId="77777777" w:rsidR="004B4ED8" w:rsidRPr="00E6268F" w:rsidRDefault="004B4ED8" w:rsidP="004B4ED8">
            <w:pPr>
              <w:ind w:firstLineChars="100" w:firstLine="200"/>
              <w:rPr>
                <w:sz w:val="20"/>
              </w:rPr>
            </w:pPr>
            <w:r w:rsidRPr="00E6268F">
              <w:rPr>
                <w:sz w:val="20"/>
              </w:rPr>
              <w:t xml:space="preserve">Regulatory, transfer agent and filing fees     </w:t>
            </w:r>
          </w:p>
        </w:tc>
        <w:tc>
          <w:tcPr>
            <w:tcW w:w="450" w:type="dxa"/>
            <w:tcBorders>
              <w:top w:val="nil"/>
              <w:left w:val="nil"/>
              <w:bottom w:val="nil"/>
              <w:right w:val="nil"/>
            </w:tcBorders>
            <w:shd w:val="clear" w:color="000000" w:fill="FFFFFF"/>
            <w:noWrap/>
            <w:vAlign w:val="bottom"/>
          </w:tcPr>
          <w:p w14:paraId="5052A185" w14:textId="77777777" w:rsidR="004B4ED8" w:rsidRPr="00E6268F" w:rsidRDefault="004B4ED8" w:rsidP="004B4ED8">
            <w:pPr>
              <w:tabs>
                <w:tab w:val="decimal" w:pos="1062"/>
              </w:tabs>
              <w:jc w:val="right"/>
              <w:rPr>
                <w:b/>
                <w:spacing w:val="-2"/>
                <w:sz w:val="20"/>
              </w:rPr>
            </w:pPr>
          </w:p>
        </w:tc>
        <w:tc>
          <w:tcPr>
            <w:tcW w:w="270" w:type="dxa"/>
            <w:tcBorders>
              <w:top w:val="nil"/>
              <w:left w:val="nil"/>
              <w:bottom w:val="nil"/>
              <w:right w:val="nil"/>
            </w:tcBorders>
            <w:shd w:val="clear" w:color="000000" w:fill="FFFFFF"/>
            <w:vAlign w:val="bottom"/>
          </w:tcPr>
          <w:p w14:paraId="0D0B5C03" w14:textId="77777777" w:rsidR="004B4ED8" w:rsidRPr="00E6268F" w:rsidRDefault="004B4ED8" w:rsidP="004B4ED8">
            <w:pPr>
              <w:widowControl/>
              <w:jc w:val="right"/>
              <w:rPr>
                <w:spacing w:val="-2"/>
                <w:sz w:val="20"/>
              </w:rPr>
            </w:pPr>
          </w:p>
        </w:tc>
        <w:tc>
          <w:tcPr>
            <w:tcW w:w="1440" w:type="dxa"/>
            <w:tcBorders>
              <w:top w:val="nil"/>
              <w:left w:val="nil"/>
              <w:bottom w:val="nil"/>
              <w:right w:val="nil"/>
            </w:tcBorders>
            <w:shd w:val="clear" w:color="auto" w:fill="auto"/>
            <w:vAlign w:val="bottom"/>
          </w:tcPr>
          <w:p w14:paraId="07D5A53A" w14:textId="157C69E6" w:rsidR="004B4ED8" w:rsidRPr="00E6268F" w:rsidRDefault="004149C8" w:rsidP="004B4ED8">
            <w:pPr>
              <w:widowControl/>
              <w:jc w:val="right"/>
              <w:rPr>
                <w:b/>
                <w:spacing w:val="-2"/>
                <w:sz w:val="20"/>
              </w:rPr>
            </w:pPr>
            <w:r>
              <w:rPr>
                <w:b/>
                <w:spacing w:val="-2"/>
                <w:sz w:val="20"/>
              </w:rPr>
              <w:t>6,715</w:t>
            </w:r>
          </w:p>
        </w:tc>
        <w:tc>
          <w:tcPr>
            <w:tcW w:w="1440" w:type="dxa"/>
            <w:tcBorders>
              <w:top w:val="nil"/>
              <w:left w:val="nil"/>
              <w:bottom w:val="nil"/>
              <w:right w:val="nil"/>
            </w:tcBorders>
            <w:shd w:val="clear" w:color="000000" w:fill="FFFFFF"/>
            <w:vAlign w:val="bottom"/>
          </w:tcPr>
          <w:p w14:paraId="2A305626" w14:textId="5C4AC16C" w:rsidR="004B4ED8" w:rsidRPr="004B4ED8" w:rsidRDefault="004149C8" w:rsidP="004B4ED8">
            <w:pPr>
              <w:widowControl/>
              <w:jc w:val="right"/>
              <w:rPr>
                <w:bCs/>
                <w:spacing w:val="-2"/>
                <w:sz w:val="20"/>
              </w:rPr>
            </w:pPr>
            <w:r>
              <w:rPr>
                <w:bCs/>
                <w:spacing w:val="-2"/>
                <w:sz w:val="20"/>
              </w:rPr>
              <w:t>48,064</w:t>
            </w:r>
          </w:p>
        </w:tc>
      </w:tr>
      <w:tr w:rsidR="009029DB" w:rsidRPr="00E6268F" w14:paraId="44CACD46" w14:textId="77777777" w:rsidTr="009029DB">
        <w:trPr>
          <w:trHeight w:val="187"/>
        </w:trPr>
        <w:tc>
          <w:tcPr>
            <w:tcW w:w="5688" w:type="dxa"/>
            <w:tcBorders>
              <w:top w:val="nil"/>
              <w:left w:val="nil"/>
              <w:right w:val="nil"/>
            </w:tcBorders>
            <w:shd w:val="clear" w:color="000000" w:fill="FFFFFF"/>
            <w:noWrap/>
            <w:vAlign w:val="bottom"/>
          </w:tcPr>
          <w:p w14:paraId="269762EC" w14:textId="77777777" w:rsidR="009029DB" w:rsidRPr="00E6268F" w:rsidRDefault="009029DB" w:rsidP="004B4ED8">
            <w:pPr>
              <w:ind w:left="175" w:firstLineChars="12" w:firstLine="24"/>
              <w:rPr>
                <w:sz w:val="20"/>
              </w:rPr>
            </w:pPr>
            <w:r w:rsidRPr="009029DB">
              <w:rPr>
                <w:sz w:val="20"/>
              </w:rPr>
              <w:t>Corporate development</w:t>
            </w:r>
          </w:p>
        </w:tc>
        <w:tc>
          <w:tcPr>
            <w:tcW w:w="450" w:type="dxa"/>
            <w:tcBorders>
              <w:top w:val="nil"/>
              <w:left w:val="nil"/>
              <w:right w:val="nil"/>
            </w:tcBorders>
            <w:shd w:val="clear" w:color="000000" w:fill="FFFFFF"/>
            <w:noWrap/>
            <w:vAlign w:val="bottom"/>
          </w:tcPr>
          <w:p w14:paraId="18BAC8F6" w14:textId="77777777" w:rsidR="009029DB" w:rsidRPr="00E6268F" w:rsidRDefault="009029DB" w:rsidP="004B4ED8">
            <w:pPr>
              <w:tabs>
                <w:tab w:val="decimal" w:pos="1062"/>
              </w:tabs>
              <w:jc w:val="right"/>
              <w:rPr>
                <w:b/>
                <w:spacing w:val="-2"/>
                <w:sz w:val="20"/>
              </w:rPr>
            </w:pPr>
          </w:p>
        </w:tc>
        <w:tc>
          <w:tcPr>
            <w:tcW w:w="270" w:type="dxa"/>
            <w:tcBorders>
              <w:top w:val="nil"/>
              <w:left w:val="nil"/>
              <w:right w:val="nil"/>
            </w:tcBorders>
            <w:shd w:val="clear" w:color="000000" w:fill="FFFFFF"/>
            <w:vAlign w:val="bottom"/>
          </w:tcPr>
          <w:p w14:paraId="50BC34F2" w14:textId="77777777" w:rsidR="009029DB" w:rsidRPr="00E6268F" w:rsidRDefault="009029DB" w:rsidP="004B4ED8">
            <w:pPr>
              <w:widowControl/>
              <w:jc w:val="right"/>
              <w:rPr>
                <w:spacing w:val="-2"/>
                <w:sz w:val="20"/>
              </w:rPr>
            </w:pPr>
          </w:p>
        </w:tc>
        <w:tc>
          <w:tcPr>
            <w:tcW w:w="1440" w:type="dxa"/>
            <w:tcBorders>
              <w:top w:val="nil"/>
              <w:left w:val="nil"/>
              <w:right w:val="nil"/>
            </w:tcBorders>
            <w:shd w:val="clear" w:color="auto" w:fill="auto"/>
            <w:vAlign w:val="bottom"/>
          </w:tcPr>
          <w:p w14:paraId="5F480EDD" w14:textId="136CE8C9" w:rsidR="009029DB" w:rsidRDefault="004149C8" w:rsidP="004B4ED8">
            <w:pPr>
              <w:widowControl/>
              <w:jc w:val="right"/>
              <w:rPr>
                <w:b/>
                <w:spacing w:val="-2"/>
                <w:sz w:val="20"/>
              </w:rPr>
            </w:pPr>
            <w:r>
              <w:rPr>
                <w:b/>
                <w:spacing w:val="-2"/>
                <w:sz w:val="20"/>
              </w:rPr>
              <w:t>48,936</w:t>
            </w:r>
          </w:p>
        </w:tc>
        <w:tc>
          <w:tcPr>
            <w:tcW w:w="1440" w:type="dxa"/>
            <w:tcBorders>
              <w:top w:val="nil"/>
              <w:left w:val="nil"/>
              <w:right w:val="nil"/>
            </w:tcBorders>
            <w:shd w:val="clear" w:color="000000" w:fill="FFFFFF"/>
            <w:vAlign w:val="bottom"/>
          </w:tcPr>
          <w:p w14:paraId="6A6F2427" w14:textId="77777777" w:rsidR="009029DB" w:rsidRPr="004B4ED8" w:rsidRDefault="009029DB" w:rsidP="004B4ED8">
            <w:pPr>
              <w:widowControl/>
              <w:jc w:val="right"/>
              <w:rPr>
                <w:bCs/>
                <w:spacing w:val="-2"/>
                <w:sz w:val="20"/>
              </w:rPr>
            </w:pPr>
            <w:r>
              <w:rPr>
                <w:bCs/>
                <w:spacing w:val="-2"/>
                <w:sz w:val="20"/>
              </w:rPr>
              <w:t>-</w:t>
            </w:r>
          </w:p>
        </w:tc>
      </w:tr>
      <w:tr w:rsidR="004B4ED8" w:rsidRPr="00E6268F" w14:paraId="3E68CD6C" w14:textId="77777777" w:rsidTr="009029DB">
        <w:trPr>
          <w:trHeight w:val="187"/>
        </w:trPr>
        <w:tc>
          <w:tcPr>
            <w:tcW w:w="5688" w:type="dxa"/>
            <w:tcBorders>
              <w:top w:val="nil"/>
              <w:left w:val="nil"/>
              <w:right w:val="nil"/>
            </w:tcBorders>
            <w:shd w:val="clear" w:color="000000" w:fill="FFFFFF"/>
            <w:noWrap/>
            <w:vAlign w:val="bottom"/>
          </w:tcPr>
          <w:p w14:paraId="3331DFDB" w14:textId="77777777" w:rsidR="004B4ED8" w:rsidRPr="00E6268F" w:rsidRDefault="004B4ED8" w:rsidP="004B4ED8">
            <w:pPr>
              <w:ind w:left="175" w:firstLineChars="12" w:firstLine="24"/>
              <w:rPr>
                <w:sz w:val="20"/>
              </w:rPr>
            </w:pPr>
            <w:r w:rsidRPr="00E6268F">
              <w:rPr>
                <w:sz w:val="20"/>
              </w:rPr>
              <w:t xml:space="preserve">Management, consulting and director’s fees </w:t>
            </w:r>
          </w:p>
        </w:tc>
        <w:tc>
          <w:tcPr>
            <w:tcW w:w="450" w:type="dxa"/>
            <w:tcBorders>
              <w:top w:val="nil"/>
              <w:left w:val="nil"/>
              <w:right w:val="nil"/>
            </w:tcBorders>
            <w:shd w:val="clear" w:color="000000" w:fill="FFFFFF"/>
            <w:noWrap/>
            <w:vAlign w:val="bottom"/>
          </w:tcPr>
          <w:p w14:paraId="1B659DD7" w14:textId="77777777" w:rsidR="004B4ED8" w:rsidRPr="00E6268F" w:rsidRDefault="004B4ED8" w:rsidP="004B4ED8">
            <w:pPr>
              <w:tabs>
                <w:tab w:val="decimal" w:pos="1062"/>
              </w:tabs>
              <w:jc w:val="right"/>
              <w:rPr>
                <w:b/>
                <w:spacing w:val="-2"/>
                <w:sz w:val="20"/>
              </w:rPr>
            </w:pPr>
          </w:p>
        </w:tc>
        <w:tc>
          <w:tcPr>
            <w:tcW w:w="270" w:type="dxa"/>
            <w:tcBorders>
              <w:top w:val="nil"/>
              <w:left w:val="nil"/>
              <w:right w:val="nil"/>
            </w:tcBorders>
            <w:shd w:val="clear" w:color="000000" w:fill="FFFFFF"/>
            <w:vAlign w:val="bottom"/>
          </w:tcPr>
          <w:p w14:paraId="24650D4F" w14:textId="77777777" w:rsidR="004B4ED8" w:rsidRPr="00E6268F" w:rsidRDefault="004B4ED8" w:rsidP="004B4ED8">
            <w:pPr>
              <w:widowControl/>
              <w:jc w:val="right"/>
              <w:rPr>
                <w:spacing w:val="-2"/>
                <w:sz w:val="20"/>
              </w:rPr>
            </w:pPr>
          </w:p>
        </w:tc>
        <w:tc>
          <w:tcPr>
            <w:tcW w:w="1440" w:type="dxa"/>
            <w:tcBorders>
              <w:top w:val="nil"/>
              <w:left w:val="nil"/>
              <w:right w:val="nil"/>
            </w:tcBorders>
            <w:shd w:val="clear" w:color="auto" w:fill="auto"/>
            <w:vAlign w:val="bottom"/>
          </w:tcPr>
          <w:p w14:paraId="53BC5F1F" w14:textId="638F140E" w:rsidR="004B4ED8" w:rsidRPr="00E6268F" w:rsidRDefault="004149C8" w:rsidP="004B4ED8">
            <w:pPr>
              <w:widowControl/>
              <w:jc w:val="right"/>
              <w:rPr>
                <w:b/>
                <w:spacing w:val="-2"/>
                <w:sz w:val="20"/>
              </w:rPr>
            </w:pPr>
            <w:r>
              <w:rPr>
                <w:b/>
                <w:spacing w:val="-2"/>
                <w:sz w:val="20"/>
              </w:rPr>
              <w:t>127,294</w:t>
            </w:r>
          </w:p>
        </w:tc>
        <w:tc>
          <w:tcPr>
            <w:tcW w:w="1440" w:type="dxa"/>
            <w:tcBorders>
              <w:top w:val="nil"/>
              <w:left w:val="nil"/>
              <w:right w:val="nil"/>
            </w:tcBorders>
            <w:shd w:val="clear" w:color="000000" w:fill="FFFFFF"/>
            <w:vAlign w:val="bottom"/>
          </w:tcPr>
          <w:p w14:paraId="7C9A16C7" w14:textId="4E8FAD7B" w:rsidR="004B4ED8" w:rsidRPr="004B4ED8" w:rsidRDefault="004149C8" w:rsidP="004B4ED8">
            <w:pPr>
              <w:widowControl/>
              <w:jc w:val="right"/>
              <w:rPr>
                <w:bCs/>
                <w:spacing w:val="-2"/>
                <w:sz w:val="20"/>
              </w:rPr>
            </w:pPr>
            <w:r>
              <w:rPr>
                <w:bCs/>
                <w:spacing w:val="-2"/>
                <w:sz w:val="20"/>
              </w:rPr>
              <w:t>87,059</w:t>
            </w:r>
          </w:p>
        </w:tc>
      </w:tr>
      <w:tr w:rsidR="004B4ED8" w:rsidRPr="00E6268F" w14:paraId="0E6660F7" w14:textId="77777777" w:rsidTr="009029DB">
        <w:trPr>
          <w:trHeight w:val="187"/>
        </w:trPr>
        <w:tc>
          <w:tcPr>
            <w:tcW w:w="5688" w:type="dxa"/>
            <w:tcBorders>
              <w:top w:val="nil"/>
              <w:left w:val="nil"/>
              <w:right w:val="nil"/>
            </w:tcBorders>
            <w:shd w:val="clear" w:color="000000" w:fill="FFFFFF"/>
            <w:noWrap/>
            <w:vAlign w:val="bottom"/>
          </w:tcPr>
          <w:p w14:paraId="580A2728" w14:textId="77777777" w:rsidR="004B4ED8" w:rsidRPr="00E6268F" w:rsidRDefault="004B4ED8" w:rsidP="004B4ED8">
            <w:pPr>
              <w:ind w:left="175" w:firstLineChars="12" w:firstLine="24"/>
              <w:rPr>
                <w:sz w:val="20"/>
                <w:lang w:val="en-CA" w:eastAsia="en-CA"/>
              </w:rPr>
            </w:pPr>
            <w:r w:rsidRPr="00E6268F">
              <w:rPr>
                <w:sz w:val="20"/>
                <w:lang w:val="en-CA" w:eastAsia="en-CA"/>
              </w:rPr>
              <w:t>Foreign exchange loss (gain)</w:t>
            </w:r>
          </w:p>
        </w:tc>
        <w:tc>
          <w:tcPr>
            <w:tcW w:w="450" w:type="dxa"/>
            <w:tcBorders>
              <w:top w:val="nil"/>
              <w:left w:val="nil"/>
              <w:right w:val="nil"/>
            </w:tcBorders>
            <w:shd w:val="clear" w:color="000000" w:fill="FFFFFF"/>
            <w:noWrap/>
            <w:vAlign w:val="bottom"/>
          </w:tcPr>
          <w:p w14:paraId="188D0253" w14:textId="77777777" w:rsidR="004B4ED8" w:rsidRPr="00E6268F" w:rsidRDefault="004B4ED8" w:rsidP="004B4ED8">
            <w:pPr>
              <w:widowControl/>
              <w:tabs>
                <w:tab w:val="decimal" w:pos="1062"/>
              </w:tabs>
              <w:jc w:val="right"/>
              <w:rPr>
                <w:b/>
                <w:spacing w:val="-2"/>
                <w:sz w:val="20"/>
              </w:rPr>
            </w:pPr>
          </w:p>
        </w:tc>
        <w:tc>
          <w:tcPr>
            <w:tcW w:w="270" w:type="dxa"/>
            <w:tcBorders>
              <w:top w:val="nil"/>
              <w:left w:val="nil"/>
              <w:right w:val="nil"/>
            </w:tcBorders>
            <w:shd w:val="clear" w:color="000000" w:fill="FFFFFF"/>
            <w:vAlign w:val="bottom"/>
          </w:tcPr>
          <w:p w14:paraId="749EE6FE" w14:textId="77777777" w:rsidR="004B4ED8" w:rsidRPr="00E6268F" w:rsidRDefault="004B4ED8" w:rsidP="004B4ED8">
            <w:pPr>
              <w:widowControl/>
              <w:jc w:val="right"/>
              <w:rPr>
                <w:spacing w:val="-2"/>
                <w:sz w:val="20"/>
              </w:rPr>
            </w:pPr>
          </w:p>
        </w:tc>
        <w:tc>
          <w:tcPr>
            <w:tcW w:w="1440" w:type="dxa"/>
            <w:tcBorders>
              <w:top w:val="nil"/>
              <w:left w:val="nil"/>
              <w:right w:val="nil"/>
            </w:tcBorders>
            <w:shd w:val="clear" w:color="auto" w:fill="auto"/>
            <w:vAlign w:val="bottom"/>
          </w:tcPr>
          <w:p w14:paraId="0F108AFF" w14:textId="1B4A5336" w:rsidR="004B4ED8" w:rsidRPr="00E6268F" w:rsidRDefault="004149C8" w:rsidP="004B4ED8">
            <w:pPr>
              <w:widowControl/>
              <w:jc w:val="right"/>
              <w:rPr>
                <w:b/>
                <w:spacing w:val="-2"/>
                <w:sz w:val="20"/>
              </w:rPr>
            </w:pPr>
            <w:r>
              <w:rPr>
                <w:b/>
                <w:spacing w:val="-2"/>
                <w:sz w:val="20"/>
              </w:rPr>
              <w:t>(4,775)</w:t>
            </w:r>
          </w:p>
        </w:tc>
        <w:tc>
          <w:tcPr>
            <w:tcW w:w="1440" w:type="dxa"/>
            <w:tcBorders>
              <w:top w:val="nil"/>
              <w:left w:val="nil"/>
              <w:right w:val="nil"/>
            </w:tcBorders>
            <w:shd w:val="clear" w:color="000000" w:fill="FFFFFF"/>
            <w:vAlign w:val="bottom"/>
          </w:tcPr>
          <w:p w14:paraId="08B121B2" w14:textId="30F96385" w:rsidR="004B4ED8" w:rsidRPr="004B4ED8" w:rsidRDefault="004149C8" w:rsidP="004B4ED8">
            <w:pPr>
              <w:widowControl/>
              <w:jc w:val="right"/>
              <w:rPr>
                <w:bCs/>
                <w:spacing w:val="-2"/>
                <w:sz w:val="20"/>
              </w:rPr>
            </w:pPr>
            <w:r>
              <w:rPr>
                <w:bCs/>
                <w:spacing w:val="-2"/>
                <w:sz w:val="20"/>
              </w:rPr>
              <w:t>(1,552)</w:t>
            </w:r>
          </w:p>
        </w:tc>
      </w:tr>
      <w:tr w:rsidR="004B4ED8" w:rsidRPr="00E6268F" w14:paraId="5855A8B6" w14:textId="77777777" w:rsidTr="009029DB">
        <w:trPr>
          <w:trHeight w:val="187"/>
        </w:trPr>
        <w:tc>
          <w:tcPr>
            <w:tcW w:w="5688" w:type="dxa"/>
            <w:tcBorders>
              <w:left w:val="nil"/>
              <w:bottom w:val="single" w:sz="4" w:space="0" w:color="auto"/>
              <w:right w:val="nil"/>
            </w:tcBorders>
            <w:shd w:val="clear" w:color="000000" w:fill="FFFFFF"/>
            <w:noWrap/>
            <w:vAlign w:val="bottom"/>
          </w:tcPr>
          <w:p w14:paraId="08A29928" w14:textId="77777777" w:rsidR="004B4ED8" w:rsidRPr="00E6268F" w:rsidRDefault="004B4ED8" w:rsidP="004B4ED8">
            <w:pPr>
              <w:ind w:left="175" w:firstLineChars="12" w:firstLine="24"/>
              <w:rPr>
                <w:sz w:val="20"/>
                <w:lang w:val="en-CA" w:eastAsia="en-CA"/>
              </w:rPr>
            </w:pPr>
            <w:r w:rsidRPr="00E6268F">
              <w:rPr>
                <w:sz w:val="20"/>
                <w:lang w:val="en-CA" w:eastAsia="en-CA"/>
              </w:rPr>
              <w:t>Interest income</w:t>
            </w:r>
          </w:p>
        </w:tc>
        <w:tc>
          <w:tcPr>
            <w:tcW w:w="450" w:type="dxa"/>
            <w:tcBorders>
              <w:left w:val="nil"/>
              <w:bottom w:val="single" w:sz="4" w:space="0" w:color="auto"/>
              <w:right w:val="nil"/>
            </w:tcBorders>
            <w:shd w:val="clear" w:color="000000" w:fill="FFFFFF"/>
            <w:noWrap/>
            <w:vAlign w:val="bottom"/>
          </w:tcPr>
          <w:p w14:paraId="60DA5A90" w14:textId="77777777" w:rsidR="004B4ED8" w:rsidRPr="00E6268F" w:rsidDel="00D2117E" w:rsidRDefault="004B4ED8" w:rsidP="004B4ED8">
            <w:pPr>
              <w:widowControl/>
              <w:tabs>
                <w:tab w:val="decimal" w:pos="1062"/>
              </w:tabs>
              <w:jc w:val="right"/>
              <w:rPr>
                <w:b/>
                <w:spacing w:val="-2"/>
                <w:sz w:val="20"/>
              </w:rPr>
            </w:pPr>
          </w:p>
        </w:tc>
        <w:tc>
          <w:tcPr>
            <w:tcW w:w="270" w:type="dxa"/>
            <w:tcBorders>
              <w:left w:val="nil"/>
              <w:bottom w:val="single" w:sz="4" w:space="0" w:color="auto"/>
              <w:right w:val="nil"/>
            </w:tcBorders>
            <w:shd w:val="clear" w:color="000000" w:fill="FFFFFF"/>
            <w:vAlign w:val="bottom"/>
          </w:tcPr>
          <w:p w14:paraId="33D127A5" w14:textId="77777777" w:rsidR="004B4ED8" w:rsidRPr="00E6268F" w:rsidDel="00D2117E" w:rsidRDefault="004B4ED8" w:rsidP="004B4ED8">
            <w:pPr>
              <w:widowControl/>
              <w:jc w:val="right"/>
              <w:rPr>
                <w:spacing w:val="-2"/>
                <w:sz w:val="20"/>
              </w:rPr>
            </w:pPr>
          </w:p>
        </w:tc>
        <w:tc>
          <w:tcPr>
            <w:tcW w:w="1440" w:type="dxa"/>
            <w:tcBorders>
              <w:left w:val="nil"/>
              <w:bottom w:val="single" w:sz="4" w:space="0" w:color="auto"/>
              <w:right w:val="nil"/>
            </w:tcBorders>
            <w:shd w:val="clear" w:color="auto" w:fill="auto"/>
            <w:vAlign w:val="bottom"/>
          </w:tcPr>
          <w:p w14:paraId="79EABCE7" w14:textId="7FE272D7" w:rsidR="004B4ED8" w:rsidRPr="00E6268F" w:rsidRDefault="004149C8" w:rsidP="004B4ED8">
            <w:pPr>
              <w:widowControl/>
              <w:jc w:val="right"/>
              <w:rPr>
                <w:b/>
                <w:spacing w:val="-2"/>
                <w:sz w:val="20"/>
              </w:rPr>
            </w:pPr>
            <w:r>
              <w:rPr>
                <w:b/>
                <w:spacing w:val="-2"/>
                <w:sz w:val="20"/>
              </w:rPr>
              <w:t>664</w:t>
            </w:r>
          </w:p>
        </w:tc>
        <w:tc>
          <w:tcPr>
            <w:tcW w:w="1440" w:type="dxa"/>
            <w:tcBorders>
              <w:left w:val="nil"/>
              <w:bottom w:val="single" w:sz="4" w:space="0" w:color="auto"/>
              <w:right w:val="nil"/>
            </w:tcBorders>
            <w:shd w:val="clear" w:color="000000" w:fill="FFFFFF"/>
            <w:vAlign w:val="bottom"/>
          </w:tcPr>
          <w:p w14:paraId="3D5DF390" w14:textId="6C7ADD60" w:rsidR="004B4ED8" w:rsidRPr="004B4ED8" w:rsidRDefault="004149C8" w:rsidP="004B4ED8">
            <w:pPr>
              <w:widowControl/>
              <w:jc w:val="right"/>
              <w:rPr>
                <w:bCs/>
                <w:spacing w:val="-2"/>
                <w:sz w:val="20"/>
              </w:rPr>
            </w:pPr>
            <w:r>
              <w:rPr>
                <w:bCs/>
                <w:spacing w:val="-2"/>
                <w:sz w:val="20"/>
              </w:rPr>
              <w:t>(3,250)</w:t>
            </w:r>
          </w:p>
        </w:tc>
      </w:tr>
      <w:tr w:rsidR="004B4ED8" w:rsidRPr="00E6268F" w14:paraId="512FCF6A" w14:textId="77777777" w:rsidTr="009029DB">
        <w:trPr>
          <w:trHeight w:val="187"/>
        </w:trPr>
        <w:tc>
          <w:tcPr>
            <w:tcW w:w="5688" w:type="dxa"/>
            <w:tcBorders>
              <w:top w:val="single" w:sz="4" w:space="0" w:color="auto"/>
              <w:left w:val="nil"/>
              <w:right w:val="nil"/>
            </w:tcBorders>
            <w:shd w:val="clear" w:color="000000" w:fill="FFFFFF"/>
            <w:noWrap/>
            <w:vAlign w:val="bottom"/>
          </w:tcPr>
          <w:p w14:paraId="6936404E" w14:textId="77777777" w:rsidR="004B4ED8" w:rsidRPr="00E6268F" w:rsidRDefault="004B4ED8" w:rsidP="004B4ED8">
            <w:pPr>
              <w:ind w:left="175" w:firstLineChars="12" w:firstLine="24"/>
              <w:rPr>
                <w:sz w:val="20"/>
                <w:lang w:val="en-CA" w:eastAsia="en-CA"/>
              </w:rPr>
            </w:pPr>
          </w:p>
        </w:tc>
        <w:tc>
          <w:tcPr>
            <w:tcW w:w="450" w:type="dxa"/>
            <w:tcBorders>
              <w:top w:val="single" w:sz="4" w:space="0" w:color="auto"/>
              <w:left w:val="nil"/>
              <w:right w:val="nil"/>
            </w:tcBorders>
            <w:shd w:val="clear" w:color="000000" w:fill="FFFFFF"/>
            <w:noWrap/>
            <w:vAlign w:val="bottom"/>
          </w:tcPr>
          <w:p w14:paraId="614DE9A5" w14:textId="77777777" w:rsidR="004B4ED8" w:rsidRPr="00E6268F" w:rsidRDefault="004B4ED8" w:rsidP="004B4ED8">
            <w:pPr>
              <w:widowControl/>
              <w:tabs>
                <w:tab w:val="decimal" w:pos="1062"/>
              </w:tabs>
              <w:jc w:val="right"/>
              <w:rPr>
                <w:b/>
                <w:spacing w:val="-2"/>
                <w:sz w:val="20"/>
              </w:rPr>
            </w:pPr>
          </w:p>
        </w:tc>
        <w:tc>
          <w:tcPr>
            <w:tcW w:w="270" w:type="dxa"/>
            <w:tcBorders>
              <w:top w:val="single" w:sz="4" w:space="0" w:color="auto"/>
              <w:left w:val="nil"/>
              <w:right w:val="nil"/>
            </w:tcBorders>
            <w:shd w:val="clear" w:color="000000" w:fill="FFFFFF"/>
            <w:vAlign w:val="bottom"/>
          </w:tcPr>
          <w:p w14:paraId="05093BB5" w14:textId="77777777" w:rsidR="004B4ED8" w:rsidRPr="00E6268F" w:rsidRDefault="004B4ED8" w:rsidP="004B4ED8">
            <w:pPr>
              <w:widowControl/>
              <w:jc w:val="right"/>
              <w:rPr>
                <w:spacing w:val="-2"/>
                <w:sz w:val="20"/>
              </w:rPr>
            </w:pPr>
          </w:p>
        </w:tc>
        <w:tc>
          <w:tcPr>
            <w:tcW w:w="1440" w:type="dxa"/>
            <w:tcBorders>
              <w:top w:val="single" w:sz="4" w:space="0" w:color="auto"/>
              <w:left w:val="nil"/>
              <w:right w:val="nil"/>
            </w:tcBorders>
            <w:shd w:val="clear" w:color="auto" w:fill="auto"/>
            <w:vAlign w:val="bottom"/>
          </w:tcPr>
          <w:p w14:paraId="4E443D49" w14:textId="59925C1D" w:rsidR="004B4ED8" w:rsidRPr="00E6268F" w:rsidRDefault="004149C8" w:rsidP="004B4ED8">
            <w:pPr>
              <w:widowControl/>
              <w:jc w:val="right"/>
              <w:rPr>
                <w:b/>
                <w:spacing w:val="-2"/>
                <w:sz w:val="20"/>
              </w:rPr>
            </w:pPr>
            <w:r>
              <w:rPr>
                <w:b/>
                <w:spacing w:val="-2"/>
                <w:sz w:val="20"/>
              </w:rPr>
              <w:t>208,859</w:t>
            </w:r>
          </w:p>
        </w:tc>
        <w:tc>
          <w:tcPr>
            <w:tcW w:w="1440" w:type="dxa"/>
            <w:tcBorders>
              <w:top w:val="single" w:sz="4" w:space="0" w:color="auto"/>
              <w:left w:val="nil"/>
              <w:right w:val="nil"/>
            </w:tcBorders>
            <w:shd w:val="clear" w:color="000000" w:fill="FFFFFF"/>
            <w:vAlign w:val="bottom"/>
          </w:tcPr>
          <w:p w14:paraId="2AEFEBA4" w14:textId="63357445" w:rsidR="004B4ED8" w:rsidRPr="004B4ED8" w:rsidRDefault="004149C8" w:rsidP="004B4ED8">
            <w:pPr>
              <w:widowControl/>
              <w:jc w:val="right"/>
              <w:rPr>
                <w:bCs/>
                <w:spacing w:val="-2"/>
                <w:sz w:val="20"/>
              </w:rPr>
            </w:pPr>
            <w:r>
              <w:rPr>
                <w:bCs/>
                <w:spacing w:val="-2"/>
                <w:sz w:val="20"/>
              </w:rPr>
              <w:t>204,575</w:t>
            </w:r>
          </w:p>
        </w:tc>
      </w:tr>
      <w:tr w:rsidR="004B4ED8" w:rsidRPr="00E6268F" w14:paraId="2269F506" w14:textId="77777777" w:rsidTr="009029DB">
        <w:trPr>
          <w:trHeight w:val="187"/>
        </w:trPr>
        <w:tc>
          <w:tcPr>
            <w:tcW w:w="5688" w:type="dxa"/>
            <w:tcBorders>
              <w:top w:val="nil"/>
              <w:left w:val="nil"/>
              <w:right w:val="nil"/>
            </w:tcBorders>
            <w:shd w:val="clear" w:color="000000" w:fill="FFFFFF"/>
            <w:noWrap/>
            <w:vAlign w:val="bottom"/>
          </w:tcPr>
          <w:p w14:paraId="3234F15F" w14:textId="77777777" w:rsidR="004B4ED8" w:rsidRPr="00E6268F" w:rsidRDefault="004B4ED8" w:rsidP="004B4ED8">
            <w:pPr>
              <w:rPr>
                <w:b/>
                <w:sz w:val="20"/>
                <w:lang w:val="en-CA" w:eastAsia="en-CA"/>
              </w:rPr>
            </w:pPr>
            <w:r w:rsidRPr="00E6268F">
              <w:rPr>
                <w:b/>
                <w:sz w:val="20"/>
                <w:lang w:val="en-CA" w:eastAsia="en-CA"/>
              </w:rPr>
              <w:t>OTHER ITEMS</w:t>
            </w:r>
          </w:p>
        </w:tc>
        <w:tc>
          <w:tcPr>
            <w:tcW w:w="450" w:type="dxa"/>
            <w:tcBorders>
              <w:top w:val="nil"/>
              <w:left w:val="nil"/>
              <w:right w:val="nil"/>
            </w:tcBorders>
            <w:shd w:val="clear" w:color="000000" w:fill="FFFFFF"/>
            <w:noWrap/>
            <w:vAlign w:val="bottom"/>
          </w:tcPr>
          <w:p w14:paraId="341C9783" w14:textId="77777777" w:rsidR="004B4ED8" w:rsidRPr="00E6268F" w:rsidRDefault="004B4ED8" w:rsidP="004B4ED8">
            <w:pPr>
              <w:widowControl/>
              <w:tabs>
                <w:tab w:val="decimal" w:pos="1062"/>
              </w:tabs>
              <w:jc w:val="right"/>
              <w:rPr>
                <w:b/>
                <w:spacing w:val="-2"/>
                <w:sz w:val="20"/>
              </w:rPr>
            </w:pPr>
          </w:p>
        </w:tc>
        <w:tc>
          <w:tcPr>
            <w:tcW w:w="270" w:type="dxa"/>
            <w:tcBorders>
              <w:top w:val="nil"/>
              <w:left w:val="nil"/>
              <w:right w:val="nil"/>
            </w:tcBorders>
            <w:shd w:val="clear" w:color="000000" w:fill="FFFFFF"/>
            <w:vAlign w:val="bottom"/>
          </w:tcPr>
          <w:p w14:paraId="47ED59CD" w14:textId="77777777" w:rsidR="004B4ED8" w:rsidRPr="00E6268F" w:rsidRDefault="004B4ED8" w:rsidP="004B4ED8">
            <w:pPr>
              <w:widowControl/>
              <w:jc w:val="right"/>
              <w:rPr>
                <w:spacing w:val="-2"/>
                <w:sz w:val="20"/>
              </w:rPr>
            </w:pPr>
          </w:p>
        </w:tc>
        <w:tc>
          <w:tcPr>
            <w:tcW w:w="1440" w:type="dxa"/>
            <w:tcBorders>
              <w:top w:val="nil"/>
              <w:left w:val="nil"/>
              <w:right w:val="nil"/>
            </w:tcBorders>
            <w:shd w:val="clear" w:color="auto" w:fill="auto"/>
            <w:vAlign w:val="bottom"/>
          </w:tcPr>
          <w:p w14:paraId="779AE5CF" w14:textId="77777777" w:rsidR="004B4ED8" w:rsidRPr="00E6268F" w:rsidRDefault="004B4ED8" w:rsidP="004B4ED8">
            <w:pPr>
              <w:widowControl/>
              <w:jc w:val="right"/>
              <w:rPr>
                <w:b/>
                <w:spacing w:val="-2"/>
                <w:sz w:val="20"/>
              </w:rPr>
            </w:pPr>
          </w:p>
        </w:tc>
        <w:tc>
          <w:tcPr>
            <w:tcW w:w="1440" w:type="dxa"/>
            <w:tcBorders>
              <w:top w:val="nil"/>
              <w:left w:val="nil"/>
              <w:right w:val="nil"/>
            </w:tcBorders>
            <w:shd w:val="clear" w:color="000000" w:fill="FFFFFF"/>
            <w:vAlign w:val="bottom"/>
          </w:tcPr>
          <w:p w14:paraId="0C6F3C53" w14:textId="77777777" w:rsidR="004B4ED8" w:rsidRPr="004B4ED8" w:rsidRDefault="004B4ED8" w:rsidP="004B4ED8">
            <w:pPr>
              <w:widowControl/>
              <w:jc w:val="right"/>
              <w:rPr>
                <w:bCs/>
                <w:spacing w:val="-2"/>
                <w:sz w:val="20"/>
              </w:rPr>
            </w:pPr>
          </w:p>
        </w:tc>
      </w:tr>
      <w:tr w:rsidR="003D6082" w:rsidRPr="00E6268F" w14:paraId="4AC79979" w14:textId="77777777" w:rsidTr="009029DB">
        <w:trPr>
          <w:trHeight w:val="187"/>
        </w:trPr>
        <w:tc>
          <w:tcPr>
            <w:tcW w:w="5688" w:type="dxa"/>
            <w:tcBorders>
              <w:top w:val="nil"/>
              <w:left w:val="nil"/>
              <w:right w:val="nil"/>
            </w:tcBorders>
            <w:shd w:val="clear" w:color="000000" w:fill="FFFFFF"/>
            <w:noWrap/>
            <w:vAlign w:val="bottom"/>
          </w:tcPr>
          <w:p w14:paraId="5B2A7063" w14:textId="7E14DA53" w:rsidR="003D6082" w:rsidRPr="00FB1690" w:rsidRDefault="003D6082" w:rsidP="003D6082">
            <w:pPr>
              <w:ind w:left="175" w:firstLineChars="12" w:firstLine="22"/>
              <w:rPr>
                <w:sz w:val="20"/>
                <w:highlight w:val="yellow"/>
                <w:lang w:val="en-CA" w:eastAsia="en-CA"/>
              </w:rPr>
            </w:pPr>
            <w:r>
              <w:rPr>
                <w:sz w:val="18"/>
                <w:szCs w:val="18"/>
                <w:lang w:val="en-CA" w:eastAsia="en-CA"/>
              </w:rPr>
              <w:t xml:space="preserve">Flow-through liability reversal </w:t>
            </w:r>
          </w:p>
        </w:tc>
        <w:tc>
          <w:tcPr>
            <w:tcW w:w="450" w:type="dxa"/>
            <w:tcBorders>
              <w:top w:val="nil"/>
              <w:left w:val="nil"/>
              <w:right w:val="nil"/>
            </w:tcBorders>
            <w:shd w:val="clear" w:color="000000" w:fill="FFFFFF"/>
            <w:noWrap/>
            <w:vAlign w:val="bottom"/>
          </w:tcPr>
          <w:p w14:paraId="06266FC4" w14:textId="77777777" w:rsidR="003D6082" w:rsidRPr="00E6268F" w:rsidRDefault="003D6082" w:rsidP="003D6082">
            <w:pPr>
              <w:widowControl/>
              <w:tabs>
                <w:tab w:val="decimal" w:pos="1062"/>
              </w:tabs>
              <w:jc w:val="right"/>
              <w:rPr>
                <w:b/>
                <w:spacing w:val="-2"/>
                <w:sz w:val="20"/>
              </w:rPr>
            </w:pPr>
          </w:p>
        </w:tc>
        <w:tc>
          <w:tcPr>
            <w:tcW w:w="270" w:type="dxa"/>
            <w:tcBorders>
              <w:top w:val="nil"/>
              <w:left w:val="nil"/>
              <w:right w:val="nil"/>
            </w:tcBorders>
            <w:shd w:val="clear" w:color="000000" w:fill="FFFFFF"/>
            <w:vAlign w:val="bottom"/>
          </w:tcPr>
          <w:p w14:paraId="0B9A77F7" w14:textId="77777777" w:rsidR="003D6082" w:rsidRPr="00E6268F" w:rsidRDefault="003D6082" w:rsidP="003D6082">
            <w:pPr>
              <w:widowControl/>
              <w:jc w:val="right"/>
              <w:rPr>
                <w:spacing w:val="-2"/>
                <w:sz w:val="20"/>
              </w:rPr>
            </w:pPr>
          </w:p>
        </w:tc>
        <w:tc>
          <w:tcPr>
            <w:tcW w:w="1440" w:type="dxa"/>
            <w:tcBorders>
              <w:top w:val="nil"/>
              <w:left w:val="nil"/>
              <w:right w:val="nil"/>
            </w:tcBorders>
            <w:shd w:val="clear" w:color="auto" w:fill="auto"/>
            <w:vAlign w:val="bottom"/>
          </w:tcPr>
          <w:p w14:paraId="3FF8F654" w14:textId="15776D69" w:rsidR="003D6082" w:rsidRPr="006B13BF" w:rsidRDefault="003D6082" w:rsidP="003D6082">
            <w:pPr>
              <w:widowControl/>
              <w:jc w:val="right"/>
              <w:rPr>
                <w:b/>
                <w:spacing w:val="-2"/>
                <w:sz w:val="20"/>
              </w:rPr>
            </w:pPr>
            <w:r>
              <w:rPr>
                <w:b/>
                <w:spacing w:val="-2"/>
                <w:sz w:val="18"/>
                <w:szCs w:val="18"/>
              </w:rPr>
              <w:t>(31,201)</w:t>
            </w:r>
          </w:p>
        </w:tc>
        <w:tc>
          <w:tcPr>
            <w:tcW w:w="1440" w:type="dxa"/>
            <w:tcBorders>
              <w:top w:val="nil"/>
              <w:left w:val="nil"/>
              <w:right w:val="nil"/>
            </w:tcBorders>
            <w:shd w:val="clear" w:color="000000" w:fill="FFFFFF"/>
            <w:vAlign w:val="bottom"/>
          </w:tcPr>
          <w:p w14:paraId="4D0EC5D0" w14:textId="0692490A" w:rsidR="003D6082" w:rsidRPr="004B4ED8" w:rsidRDefault="003D6082" w:rsidP="003D6082">
            <w:pPr>
              <w:widowControl/>
              <w:jc w:val="right"/>
              <w:rPr>
                <w:bCs/>
                <w:spacing w:val="-2"/>
                <w:sz w:val="20"/>
              </w:rPr>
            </w:pPr>
            <w:r>
              <w:rPr>
                <w:bCs/>
                <w:spacing w:val="-2"/>
                <w:sz w:val="18"/>
                <w:szCs w:val="18"/>
              </w:rPr>
              <w:t>(439,118)</w:t>
            </w:r>
          </w:p>
        </w:tc>
      </w:tr>
      <w:tr w:rsidR="003D6082" w:rsidRPr="00E6268F" w14:paraId="213428DB" w14:textId="77777777" w:rsidTr="009029DB">
        <w:trPr>
          <w:trHeight w:val="187"/>
        </w:trPr>
        <w:tc>
          <w:tcPr>
            <w:tcW w:w="5688" w:type="dxa"/>
            <w:tcBorders>
              <w:top w:val="nil"/>
              <w:left w:val="nil"/>
              <w:right w:val="nil"/>
            </w:tcBorders>
            <w:shd w:val="clear" w:color="000000" w:fill="FFFFFF"/>
            <w:noWrap/>
            <w:vAlign w:val="bottom"/>
          </w:tcPr>
          <w:p w14:paraId="384EDFA1" w14:textId="3508C4FF" w:rsidR="003D6082" w:rsidRPr="00FB1690" w:rsidRDefault="003D6082" w:rsidP="003D6082">
            <w:pPr>
              <w:ind w:left="175" w:firstLineChars="12" w:firstLine="22"/>
              <w:rPr>
                <w:sz w:val="20"/>
                <w:highlight w:val="yellow"/>
                <w:lang w:val="en-CA" w:eastAsia="en-CA"/>
              </w:rPr>
            </w:pPr>
            <w:r>
              <w:rPr>
                <w:sz w:val="18"/>
                <w:szCs w:val="18"/>
                <w:lang w:val="en-CA" w:eastAsia="en-CA"/>
              </w:rPr>
              <w:t>Realized gain on sale of marketable securities</w:t>
            </w:r>
          </w:p>
        </w:tc>
        <w:tc>
          <w:tcPr>
            <w:tcW w:w="450" w:type="dxa"/>
            <w:tcBorders>
              <w:top w:val="nil"/>
              <w:left w:val="nil"/>
              <w:right w:val="nil"/>
            </w:tcBorders>
            <w:shd w:val="clear" w:color="000000" w:fill="FFFFFF"/>
            <w:noWrap/>
            <w:vAlign w:val="bottom"/>
          </w:tcPr>
          <w:p w14:paraId="44E5F622" w14:textId="77777777" w:rsidR="003D6082" w:rsidRPr="00E6268F" w:rsidRDefault="003D6082" w:rsidP="003D6082">
            <w:pPr>
              <w:widowControl/>
              <w:tabs>
                <w:tab w:val="decimal" w:pos="1062"/>
              </w:tabs>
              <w:jc w:val="right"/>
              <w:rPr>
                <w:b/>
                <w:spacing w:val="-2"/>
                <w:sz w:val="20"/>
              </w:rPr>
            </w:pPr>
          </w:p>
        </w:tc>
        <w:tc>
          <w:tcPr>
            <w:tcW w:w="270" w:type="dxa"/>
            <w:tcBorders>
              <w:top w:val="nil"/>
              <w:left w:val="nil"/>
              <w:right w:val="nil"/>
            </w:tcBorders>
            <w:shd w:val="clear" w:color="000000" w:fill="FFFFFF"/>
            <w:vAlign w:val="bottom"/>
          </w:tcPr>
          <w:p w14:paraId="45205D9A" w14:textId="77777777" w:rsidR="003D6082" w:rsidRPr="00E6268F" w:rsidRDefault="003D6082" w:rsidP="003D6082">
            <w:pPr>
              <w:widowControl/>
              <w:jc w:val="right"/>
              <w:rPr>
                <w:spacing w:val="-2"/>
                <w:sz w:val="20"/>
              </w:rPr>
            </w:pPr>
          </w:p>
        </w:tc>
        <w:tc>
          <w:tcPr>
            <w:tcW w:w="1440" w:type="dxa"/>
            <w:tcBorders>
              <w:top w:val="nil"/>
              <w:left w:val="nil"/>
              <w:right w:val="nil"/>
            </w:tcBorders>
            <w:shd w:val="clear" w:color="auto" w:fill="auto"/>
            <w:vAlign w:val="bottom"/>
          </w:tcPr>
          <w:p w14:paraId="05B3C254" w14:textId="2C7A459A" w:rsidR="003D6082" w:rsidRDefault="003D6082" w:rsidP="003D6082">
            <w:pPr>
              <w:widowControl/>
              <w:jc w:val="right"/>
              <w:rPr>
                <w:b/>
                <w:spacing w:val="-2"/>
                <w:sz w:val="20"/>
              </w:rPr>
            </w:pPr>
            <w:r>
              <w:rPr>
                <w:b/>
                <w:spacing w:val="-2"/>
                <w:sz w:val="18"/>
                <w:szCs w:val="18"/>
              </w:rPr>
              <w:t>(49,478)</w:t>
            </w:r>
          </w:p>
        </w:tc>
        <w:tc>
          <w:tcPr>
            <w:tcW w:w="1440" w:type="dxa"/>
            <w:tcBorders>
              <w:top w:val="nil"/>
              <w:left w:val="nil"/>
              <w:right w:val="nil"/>
            </w:tcBorders>
            <w:shd w:val="clear" w:color="000000" w:fill="FFFFFF"/>
            <w:vAlign w:val="bottom"/>
          </w:tcPr>
          <w:p w14:paraId="5C32BAC6" w14:textId="69CCEC0D" w:rsidR="003D6082" w:rsidRDefault="003D6082" w:rsidP="003D6082">
            <w:pPr>
              <w:widowControl/>
              <w:jc w:val="right"/>
              <w:rPr>
                <w:bCs/>
                <w:spacing w:val="-2"/>
                <w:sz w:val="20"/>
              </w:rPr>
            </w:pPr>
            <w:r>
              <w:rPr>
                <w:bCs/>
                <w:spacing w:val="-2"/>
                <w:sz w:val="18"/>
                <w:szCs w:val="18"/>
              </w:rPr>
              <w:t>-</w:t>
            </w:r>
          </w:p>
        </w:tc>
      </w:tr>
      <w:tr w:rsidR="003D6082" w:rsidRPr="00E6268F" w14:paraId="115A2EA4" w14:textId="77777777" w:rsidTr="009029DB">
        <w:trPr>
          <w:trHeight w:val="187"/>
        </w:trPr>
        <w:tc>
          <w:tcPr>
            <w:tcW w:w="5688" w:type="dxa"/>
            <w:tcBorders>
              <w:top w:val="nil"/>
              <w:left w:val="nil"/>
              <w:right w:val="nil"/>
            </w:tcBorders>
            <w:shd w:val="clear" w:color="000000" w:fill="FFFFFF"/>
            <w:noWrap/>
            <w:vAlign w:val="bottom"/>
          </w:tcPr>
          <w:p w14:paraId="665799C9" w14:textId="14169507" w:rsidR="003D6082" w:rsidRPr="00FB1690" w:rsidRDefault="003D6082" w:rsidP="003D6082">
            <w:pPr>
              <w:ind w:left="175" w:firstLineChars="12" w:firstLine="22"/>
              <w:rPr>
                <w:sz w:val="20"/>
                <w:highlight w:val="yellow"/>
                <w:lang w:val="en-CA" w:eastAsia="en-CA"/>
              </w:rPr>
            </w:pPr>
            <w:r w:rsidRPr="007560B3">
              <w:rPr>
                <w:sz w:val="18"/>
                <w:szCs w:val="18"/>
                <w:lang w:val="en-CA" w:eastAsia="en-CA"/>
              </w:rPr>
              <w:t xml:space="preserve">Unrealized </w:t>
            </w:r>
            <w:r>
              <w:rPr>
                <w:sz w:val="18"/>
                <w:szCs w:val="18"/>
                <w:lang w:val="en-CA" w:eastAsia="en-CA"/>
              </w:rPr>
              <w:t>gain on marketable securities</w:t>
            </w:r>
          </w:p>
        </w:tc>
        <w:tc>
          <w:tcPr>
            <w:tcW w:w="450" w:type="dxa"/>
            <w:tcBorders>
              <w:top w:val="nil"/>
              <w:left w:val="nil"/>
              <w:right w:val="nil"/>
            </w:tcBorders>
            <w:shd w:val="clear" w:color="000000" w:fill="FFFFFF"/>
            <w:noWrap/>
            <w:vAlign w:val="bottom"/>
          </w:tcPr>
          <w:p w14:paraId="49B3A443" w14:textId="77777777" w:rsidR="003D6082" w:rsidRPr="00E6268F" w:rsidRDefault="003D6082" w:rsidP="003D6082">
            <w:pPr>
              <w:widowControl/>
              <w:tabs>
                <w:tab w:val="decimal" w:pos="1062"/>
              </w:tabs>
              <w:jc w:val="right"/>
              <w:rPr>
                <w:b/>
                <w:spacing w:val="-2"/>
                <w:sz w:val="20"/>
              </w:rPr>
            </w:pPr>
          </w:p>
        </w:tc>
        <w:tc>
          <w:tcPr>
            <w:tcW w:w="270" w:type="dxa"/>
            <w:tcBorders>
              <w:top w:val="nil"/>
              <w:left w:val="nil"/>
              <w:right w:val="nil"/>
            </w:tcBorders>
            <w:shd w:val="clear" w:color="000000" w:fill="FFFFFF"/>
            <w:vAlign w:val="bottom"/>
          </w:tcPr>
          <w:p w14:paraId="0BB17BEE" w14:textId="77777777" w:rsidR="003D6082" w:rsidRPr="00E6268F" w:rsidRDefault="003D6082" w:rsidP="003D6082">
            <w:pPr>
              <w:widowControl/>
              <w:jc w:val="right"/>
              <w:rPr>
                <w:spacing w:val="-2"/>
                <w:sz w:val="20"/>
              </w:rPr>
            </w:pPr>
          </w:p>
        </w:tc>
        <w:tc>
          <w:tcPr>
            <w:tcW w:w="1440" w:type="dxa"/>
            <w:tcBorders>
              <w:top w:val="nil"/>
              <w:left w:val="nil"/>
              <w:right w:val="nil"/>
            </w:tcBorders>
            <w:shd w:val="clear" w:color="auto" w:fill="auto"/>
            <w:vAlign w:val="bottom"/>
          </w:tcPr>
          <w:p w14:paraId="32EC07EB" w14:textId="17C3BD6C" w:rsidR="003D6082" w:rsidRPr="006B13BF" w:rsidRDefault="003D6082" w:rsidP="003D6082">
            <w:pPr>
              <w:widowControl/>
              <w:jc w:val="right"/>
              <w:rPr>
                <w:b/>
                <w:spacing w:val="-2"/>
                <w:sz w:val="20"/>
              </w:rPr>
            </w:pPr>
            <w:r>
              <w:rPr>
                <w:b/>
                <w:spacing w:val="-2"/>
                <w:sz w:val="18"/>
                <w:szCs w:val="18"/>
              </w:rPr>
              <w:t>(48,690)</w:t>
            </w:r>
          </w:p>
        </w:tc>
        <w:tc>
          <w:tcPr>
            <w:tcW w:w="1440" w:type="dxa"/>
            <w:tcBorders>
              <w:top w:val="nil"/>
              <w:left w:val="nil"/>
              <w:right w:val="nil"/>
            </w:tcBorders>
            <w:shd w:val="clear" w:color="000000" w:fill="FFFFFF"/>
            <w:vAlign w:val="bottom"/>
          </w:tcPr>
          <w:p w14:paraId="23F88D87" w14:textId="6B50E376" w:rsidR="003D6082" w:rsidRPr="004B4ED8" w:rsidRDefault="003D6082" w:rsidP="003D6082">
            <w:pPr>
              <w:widowControl/>
              <w:jc w:val="right"/>
              <w:rPr>
                <w:bCs/>
                <w:spacing w:val="-2"/>
                <w:sz w:val="20"/>
              </w:rPr>
            </w:pPr>
            <w:r>
              <w:rPr>
                <w:bCs/>
                <w:spacing w:val="-2"/>
                <w:sz w:val="18"/>
                <w:szCs w:val="18"/>
              </w:rPr>
              <w:t>-</w:t>
            </w:r>
          </w:p>
        </w:tc>
      </w:tr>
      <w:tr w:rsidR="003D6082" w:rsidRPr="00E6268F" w14:paraId="66D7E9A8" w14:textId="77777777" w:rsidTr="009029DB">
        <w:trPr>
          <w:trHeight w:val="187"/>
        </w:trPr>
        <w:tc>
          <w:tcPr>
            <w:tcW w:w="5688" w:type="dxa"/>
            <w:tcBorders>
              <w:top w:val="single" w:sz="4" w:space="0" w:color="auto"/>
              <w:left w:val="nil"/>
              <w:bottom w:val="double" w:sz="4" w:space="0" w:color="auto"/>
              <w:right w:val="nil"/>
            </w:tcBorders>
            <w:shd w:val="clear" w:color="000000" w:fill="FFFFFF"/>
            <w:noWrap/>
            <w:vAlign w:val="bottom"/>
          </w:tcPr>
          <w:p w14:paraId="02D8A204" w14:textId="577F725C" w:rsidR="003D6082" w:rsidRPr="00E6268F" w:rsidRDefault="003D6082" w:rsidP="003D6082">
            <w:pPr>
              <w:widowControl/>
              <w:rPr>
                <w:b/>
                <w:sz w:val="20"/>
                <w:lang w:val="en-CA" w:eastAsia="en-CA"/>
              </w:rPr>
            </w:pPr>
            <w:r w:rsidRPr="0082110A">
              <w:rPr>
                <w:b/>
                <w:sz w:val="18"/>
                <w:szCs w:val="18"/>
                <w:lang w:val="en-CA" w:eastAsia="en-CA"/>
              </w:rPr>
              <w:t xml:space="preserve">Net </w:t>
            </w:r>
            <w:r>
              <w:rPr>
                <w:b/>
                <w:sz w:val="18"/>
                <w:szCs w:val="18"/>
                <w:lang w:val="en-CA" w:eastAsia="en-CA"/>
              </w:rPr>
              <w:t>income (</w:t>
            </w:r>
            <w:r w:rsidRPr="0082110A">
              <w:rPr>
                <w:b/>
                <w:sz w:val="18"/>
                <w:szCs w:val="18"/>
                <w:lang w:val="en-CA" w:eastAsia="en-CA"/>
              </w:rPr>
              <w:t>loss</w:t>
            </w:r>
            <w:r>
              <w:rPr>
                <w:b/>
                <w:sz w:val="18"/>
                <w:szCs w:val="18"/>
                <w:lang w:val="en-CA" w:eastAsia="en-CA"/>
              </w:rPr>
              <w:t>)</w:t>
            </w:r>
            <w:r w:rsidRPr="0082110A">
              <w:rPr>
                <w:b/>
                <w:sz w:val="18"/>
                <w:szCs w:val="18"/>
                <w:lang w:val="en-CA" w:eastAsia="en-CA"/>
              </w:rPr>
              <w:t xml:space="preserve"> and comprehensive </w:t>
            </w:r>
            <w:r>
              <w:rPr>
                <w:b/>
                <w:sz w:val="18"/>
                <w:szCs w:val="18"/>
                <w:lang w:val="en-CA" w:eastAsia="en-CA"/>
              </w:rPr>
              <w:t>income (</w:t>
            </w:r>
            <w:r w:rsidRPr="0082110A">
              <w:rPr>
                <w:b/>
                <w:sz w:val="18"/>
                <w:szCs w:val="18"/>
                <w:lang w:val="en-CA" w:eastAsia="en-CA"/>
              </w:rPr>
              <w:t>loss</w:t>
            </w:r>
            <w:r>
              <w:rPr>
                <w:b/>
                <w:sz w:val="18"/>
                <w:szCs w:val="18"/>
                <w:lang w:val="en-CA" w:eastAsia="en-CA"/>
              </w:rPr>
              <w:t>)</w:t>
            </w:r>
            <w:r w:rsidRPr="0082110A">
              <w:rPr>
                <w:b/>
                <w:sz w:val="18"/>
                <w:szCs w:val="18"/>
                <w:lang w:val="en-CA" w:eastAsia="en-CA"/>
              </w:rPr>
              <w:t xml:space="preserve"> for the </w:t>
            </w:r>
            <w:r>
              <w:rPr>
                <w:b/>
                <w:sz w:val="18"/>
                <w:szCs w:val="18"/>
                <w:lang w:val="en-CA" w:eastAsia="en-CA"/>
              </w:rPr>
              <w:t>period</w:t>
            </w:r>
          </w:p>
        </w:tc>
        <w:tc>
          <w:tcPr>
            <w:tcW w:w="450" w:type="dxa"/>
            <w:tcBorders>
              <w:top w:val="single" w:sz="4" w:space="0" w:color="auto"/>
              <w:left w:val="nil"/>
              <w:bottom w:val="double" w:sz="4" w:space="0" w:color="auto"/>
              <w:right w:val="nil"/>
            </w:tcBorders>
            <w:shd w:val="clear" w:color="000000" w:fill="FFFFFF"/>
            <w:noWrap/>
            <w:vAlign w:val="bottom"/>
          </w:tcPr>
          <w:p w14:paraId="4BCC1DDD" w14:textId="77777777" w:rsidR="003D6082" w:rsidRPr="00E6268F" w:rsidRDefault="003D6082" w:rsidP="003D6082">
            <w:pPr>
              <w:widowControl/>
              <w:tabs>
                <w:tab w:val="decimal" w:pos="1062"/>
              </w:tabs>
              <w:ind w:right="-30"/>
              <w:jc w:val="right"/>
              <w:rPr>
                <w:b/>
                <w:spacing w:val="-2"/>
                <w:sz w:val="20"/>
              </w:rPr>
            </w:pPr>
          </w:p>
        </w:tc>
        <w:tc>
          <w:tcPr>
            <w:tcW w:w="270" w:type="dxa"/>
            <w:tcBorders>
              <w:top w:val="single" w:sz="4" w:space="0" w:color="auto"/>
              <w:left w:val="nil"/>
              <w:bottom w:val="double" w:sz="4" w:space="0" w:color="auto"/>
              <w:right w:val="nil"/>
            </w:tcBorders>
            <w:shd w:val="clear" w:color="000000" w:fill="FFFFFF"/>
            <w:vAlign w:val="bottom"/>
          </w:tcPr>
          <w:p w14:paraId="70A279C8" w14:textId="77777777" w:rsidR="003D6082" w:rsidRPr="00E6268F" w:rsidRDefault="003D6082" w:rsidP="003D6082">
            <w:pPr>
              <w:widowControl/>
              <w:jc w:val="right"/>
              <w:rPr>
                <w:spacing w:val="-2"/>
                <w:sz w:val="20"/>
              </w:rPr>
            </w:pPr>
          </w:p>
        </w:tc>
        <w:tc>
          <w:tcPr>
            <w:tcW w:w="1440" w:type="dxa"/>
            <w:tcBorders>
              <w:top w:val="single" w:sz="4" w:space="0" w:color="auto"/>
              <w:left w:val="nil"/>
              <w:bottom w:val="double" w:sz="4" w:space="0" w:color="auto"/>
              <w:right w:val="nil"/>
            </w:tcBorders>
            <w:shd w:val="clear" w:color="auto" w:fill="auto"/>
            <w:vAlign w:val="bottom"/>
          </w:tcPr>
          <w:p w14:paraId="2426DDFA" w14:textId="3F19C18F" w:rsidR="003D6082" w:rsidRPr="00E6268F" w:rsidRDefault="003D6082" w:rsidP="003D6082">
            <w:pPr>
              <w:widowControl/>
              <w:jc w:val="right"/>
              <w:rPr>
                <w:b/>
                <w:spacing w:val="-2"/>
                <w:sz w:val="20"/>
              </w:rPr>
            </w:pPr>
            <w:r>
              <w:rPr>
                <w:b/>
                <w:spacing w:val="-2"/>
                <w:sz w:val="18"/>
                <w:szCs w:val="18"/>
              </w:rPr>
              <w:t>(79,490)</w:t>
            </w:r>
          </w:p>
        </w:tc>
        <w:tc>
          <w:tcPr>
            <w:tcW w:w="1440" w:type="dxa"/>
            <w:tcBorders>
              <w:top w:val="single" w:sz="4" w:space="0" w:color="auto"/>
              <w:left w:val="nil"/>
              <w:bottom w:val="double" w:sz="4" w:space="0" w:color="auto"/>
              <w:right w:val="nil"/>
            </w:tcBorders>
            <w:shd w:val="clear" w:color="000000" w:fill="FFFFFF"/>
            <w:vAlign w:val="bottom"/>
          </w:tcPr>
          <w:p w14:paraId="021E7E17" w14:textId="1777723E" w:rsidR="003D6082" w:rsidRPr="004B4ED8" w:rsidRDefault="003D6082" w:rsidP="003D6082">
            <w:pPr>
              <w:widowControl/>
              <w:jc w:val="right"/>
              <w:rPr>
                <w:bCs/>
                <w:spacing w:val="-2"/>
                <w:sz w:val="20"/>
              </w:rPr>
            </w:pPr>
            <w:r>
              <w:rPr>
                <w:bCs/>
                <w:spacing w:val="-2"/>
                <w:sz w:val="18"/>
                <w:szCs w:val="18"/>
              </w:rPr>
              <w:t>234,543</w:t>
            </w:r>
          </w:p>
        </w:tc>
      </w:tr>
    </w:tbl>
    <w:p w14:paraId="042BBFCF" w14:textId="77777777" w:rsidR="004B4ED8" w:rsidRDefault="004B4ED8" w:rsidP="00B4483D">
      <w:pPr>
        <w:widowControl/>
        <w:autoSpaceDE w:val="0"/>
        <w:autoSpaceDN w:val="0"/>
        <w:adjustRightInd w:val="0"/>
        <w:jc w:val="both"/>
        <w:rPr>
          <w:b/>
          <w:sz w:val="20"/>
        </w:rPr>
      </w:pPr>
    </w:p>
    <w:p w14:paraId="1D6A104A" w14:textId="7F623AF1" w:rsidR="00B4483D" w:rsidRPr="00092F9A" w:rsidRDefault="00E44023" w:rsidP="00B4483D">
      <w:pPr>
        <w:widowControl/>
        <w:autoSpaceDE w:val="0"/>
        <w:autoSpaceDN w:val="0"/>
        <w:adjustRightInd w:val="0"/>
        <w:jc w:val="both"/>
        <w:rPr>
          <w:sz w:val="20"/>
        </w:rPr>
      </w:pPr>
      <w:r w:rsidRPr="00092F9A">
        <w:rPr>
          <w:b/>
          <w:sz w:val="20"/>
        </w:rPr>
        <w:t>For the</w:t>
      </w:r>
      <w:r w:rsidR="005905B4" w:rsidRPr="00092F9A">
        <w:rPr>
          <w:b/>
          <w:sz w:val="20"/>
        </w:rPr>
        <w:t xml:space="preserve"> </w:t>
      </w:r>
      <w:r w:rsidR="007427C6" w:rsidRPr="00092F9A">
        <w:rPr>
          <w:b/>
          <w:sz w:val="20"/>
        </w:rPr>
        <w:t xml:space="preserve">three months period </w:t>
      </w:r>
      <w:r w:rsidR="0017335B" w:rsidRPr="00092F9A">
        <w:rPr>
          <w:b/>
          <w:sz w:val="20"/>
        </w:rPr>
        <w:t xml:space="preserve">ended </w:t>
      </w:r>
      <w:r w:rsidR="007427C6" w:rsidRPr="00092F9A">
        <w:rPr>
          <w:b/>
          <w:sz w:val="20"/>
        </w:rPr>
        <w:t>June 30, 2020 and 2019</w:t>
      </w:r>
    </w:p>
    <w:p w14:paraId="08FFA12E" w14:textId="77777777" w:rsidR="0017335B" w:rsidRPr="00092F9A" w:rsidRDefault="0017335B" w:rsidP="00B4483D">
      <w:pPr>
        <w:widowControl/>
        <w:autoSpaceDE w:val="0"/>
        <w:autoSpaceDN w:val="0"/>
        <w:adjustRightInd w:val="0"/>
        <w:jc w:val="both"/>
        <w:rPr>
          <w:sz w:val="20"/>
        </w:rPr>
      </w:pPr>
    </w:p>
    <w:p w14:paraId="51D72153" w14:textId="6464BF2F" w:rsidR="004B4ED8" w:rsidRPr="00092F9A" w:rsidRDefault="004B4ED8" w:rsidP="004B4ED8">
      <w:pPr>
        <w:widowControl/>
        <w:autoSpaceDE w:val="0"/>
        <w:autoSpaceDN w:val="0"/>
        <w:adjustRightInd w:val="0"/>
        <w:spacing w:after="120"/>
        <w:jc w:val="both"/>
        <w:rPr>
          <w:sz w:val="20"/>
        </w:rPr>
      </w:pPr>
      <w:r w:rsidRPr="00092F9A">
        <w:rPr>
          <w:sz w:val="20"/>
        </w:rPr>
        <w:t>The Company recorded a net loss of $</w:t>
      </w:r>
      <w:r w:rsidR="006E6DDE" w:rsidRPr="00092F9A">
        <w:rPr>
          <w:sz w:val="20"/>
        </w:rPr>
        <w:t>79,490</w:t>
      </w:r>
      <w:r w:rsidRPr="00092F9A">
        <w:rPr>
          <w:sz w:val="20"/>
        </w:rPr>
        <w:t xml:space="preserve"> for the period ended </w:t>
      </w:r>
      <w:r w:rsidR="003D6FBF" w:rsidRPr="00092F9A">
        <w:rPr>
          <w:sz w:val="20"/>
        </w:rPr>
        <w:t>June 30</w:t>
      </w:r>
      <w:r w:rsidRPr="00092F9A">
        <w:rPr>
          <w:sz w:val="20"/>
        </w:rPr>
        <w:t xml:space="preserve">h 31, 2020 compared to a net </w:t>
      </w:r>
      <w:r w:rsidR="003D6FBF" w:rsidRPr="00092F9A">
        <w:rPr>
          <w:sz w:val="20"/>
        </w:rPr>
        <w:t xml:space="preserve">income of </w:t>
      </w:r>
      <w:r w:rsidRPr="00092F9A">
        <w:rPr>
          <w:sz w:val="20"/>
        </w:rPr>
        <w:t>$</w:t>
      </w:r>
      <w:r w:rsidR="003D6FBF" w:rsidRPr="00092F9A">
        <w:rPr>
          <w:sz w:val="20"/>
        </w:rPr>
        <w:t>234,543</w:t>
      </w:r>
      <w:r w:rsidRPr="00092F9A">
        <w:rPr>
          <w:sz w:val="20"/>
        </w:rPr>
        <w:t xml:space="preserve"> for the corresponding </w:t>
      </w:r>
      <w:r w:rsidR="004311A3" w:rsidRPr="00092F9A">
        <w:rPr>
          <w:sz w:val="20"/>
        </w:rPr>
        <w:t xml:space="preserve">period </w:t>
      </w:r>
      <w:r w:rsidRPr="00092F9A">
        <w:rPr>
          <w:sz w:val="20"/>
        </w:rPr>
        <w:t>in 2019. Some of the significant charges to operations are as follows:</w:t>
      </w:r>
    </w:p>
    <w:p w14:paraId="45264F29" w14:textId="7268762F" w:rsidR="004B4ED8" w:rsidRPr="00092F9A" w:rsidRDefault="004B4ED8" w:rsidP="004B4ED8">
      <w:pPr>
        <w:widowControl/>
        <w:numPr>
          <w:ilvl w:val="0"/>
          <w:numId w:val="28"/>
        </w:numPr>
        <w:autoSpaceDE w:val="0"/>
        <w:autoSpaceDN w:val="0"/>
        <w:adjustRightInd w:val="0"/>
        <w:jc w:val="both"/>
        <w:rPr>
          <w:sz w:val="20"/>
        </w:rPr>
      </w:pPr>
      <w:r w:rsidRPr="00092F9A">
        <w:rPr>
          <w:sz w:val="20"/>
        </w:rPr>
        <w:t>Corporate development fees of $</w:t>
      </w:r>
      <w:r w:rsidR="00FC557A" w:rsidRPr="00092F9A">
        <w:rPr>
          <w:sz w:val="20"/>
        </w:rPr>
        <w:t>48,936</w:t>
      </w:r>
      <w:r w:rsidR="009029DB" w:rsidRPr="00092F9A">
        <w:rPr>
          <w:sz w:val="20"/>
        </w:rPr>
        <w:t xml:space="preserve"> </w:t>
      </w:r>
      <w:r w:rsidRPr="00092F9A">
        <w:rPr>
          <w:sz w:val="20"/>
        </w:rPr>
        <w:t>(2019 - $</w:t>
      </w:r>
      <w:r w:rsidR="002D0ADC" w:rsidRPr="00092F9A">
        <w:rPr>
          <w:sz w:val="20"/>
        </w:rPr>
        <w:t>Nil</w:t>
      </w:r>
      <w:r w:rsidRPr="00092F9A">
        <w:rPr>
          <w:sz w:val="20"/>
        </w:rPr>
        <w:t>), include brand awareness and marketing activities to spread awareness of the Company’s exploration activities in Nova Scotia with concentrated activities in North America and Europe.</w:t>
      </w:r>
    </w:p>
    <w:p w14:paraId="69B7A1D9" w14:textId="2A5B4DCA" w:rsidR="004B4ED8" w:rsidRPr="00092F9A" w:rsidRDefault="004B4ED8" w:rsidP="004B4ED8">
      <w:pPr>
        <w:widowControl/>
        <w:numPr>
          <w:ilvl w:val="0"/>
          <w:numId w:val="28"/>
        </w:numPr>
        <w:autoSpaceDE w:val="0"/>
        <w:autoSpaceDN w:val="0"/>
        <w:adjustRightInd w:val="0"/>
        <w:jc w:val="both"/>
        <w:rPr>
          <w:sz w:val="20"/>
        </w:rPr>
      </w:pPr>
      <w:r w:rsidRPr="00092F9A">
        <w:rPr>
          <w:sz w:val="20"/>
        </w:rPr>
        <w:t>Professional fees of $</w:t>
      </w:r>
      <w:r w:rsidR="00D85823" w:rsidRPr="00092F9A">
        <w:rPr>
          <w:sz w:val="20"/>
        </w:rPr>
        <w:t>24,700</w:t>
      </w:r>
      <w:r w:rsidRPr="00092F9A">
        <w:rPr>
          <w:sz w:val="20"/>
        </w:rPr>
        <w:t xml:space="preserve"> (2019 - $</w:t>
      </w:r>
      <w:r w:rsidR="00D85823" w:rsidRPr="00092F9A">
        <w:rPr>
          <w:sz w:val="20"/>
        </w:rPr>
        <w:t>16,601</w:t>
      </w:r>
      <w:r w:rsidRPr="00092F9A">
        <w:rPr>
          <w:sz w:val="20"/>
        </w:rPr>
        <w:t xml:space="preserve">) include legal, audit and accounting services. The increase is attributed to </w:t>
      </w:r>
      <w:r w:rsidR="001F0358" w:rsidRPr="00092F9A">
        <w:rPr>
          <w:sz w:val="20"/>
        </w:rPr>
        <w:t xml:space="preserve">legal fees associated with the </w:t>
      </w:r>
      <w:r w:rsidR="00182796" w:rsidRPr="00092F9A">
        <w:rPr>
          <w:sz w:val="20"/>
        </w:rPr>
        <w:t xml:space="preserve">plan of arrangement </w:t>
      </w:r>
      <w:r w:rsidR="00EE64ED" w:rsidRPr="00092F9A">
        <w:rPr>
          <w:sz w:val="20"/>
        </w:rPr>
        <w:t>with Osprey Gold Development Ltd that closed subsequent to period end.</w:t>
      </w:r>
    </w:p>
    <w:p w14:paraId="7C602948" w14:textId="7AE56AA3" w:rsidR="004B4ED8" w:rsidRPr="00092F9A" w:rsidRDefault="004B4ED8" w:rsidP="004B4ED8">
      <w:pPr>
        <w:widowControl/>
        <w:numPr>
          <w:ilvl w:val="0"/>
          <w:numId w:val="28"/>
        </w:numPr>
        <w:rPr>
          <w:sz w:val="20"/>
        </w:rPr>
      </w:pPr>
      <w:r w:rsidRPr="00092F9A">
        <w:rPr>
          <w:sz w:val="20"/>
        </w:rPr>
        <w:lastRenderedPageBreak/>
        <w:t>General and administrative expense of $</w:t>
      </w:r>
      <w:r w:rsidR="00D50315" w:rsidRPr="00092F9A">
        <w:rPr>
          <w:sz w:val="20"/>
        </w:rPr>
        <w:t>5,325</w:t>
      </w:r>
      <w:r w:rsidR="00AF000E" w:rsidRPr="00092F9A">
        <w:rPr>
          <w:sz w:val="20"/>
        </w:rPr>
        <w:t xml:space="preserve"> </w:t>
      </w:r>
      <w:r w:rsidRPr="00092F9A">
        <w:rPr>
          <w:sz w:val="20"/>
        </w:rPr>
        <w:t>(2019 - $</w:t>
      </w:r>
      <w:r w:rsidR="00D50315" w:rsidRPr="00092F9A">
        <w:rPr>
          <w:sz w:val="20"/>
        </w:rPr>
        <w:t>57,653</w:t>
      </w:r>
      <w:r w:rsidRPr="00092F9A">
        <w:rPr>
          <w:sz w:val="20"/>
        </w:rPr>
        <w:t>), which reflected a</w:t>
      </w:r>
      <w:r w:rsidR="00F01187" w:rsidRPr="00092F9A">
        <w:rPr>
          <w:sz w:val="20"/>
        </w:rPr>
        <w:t xml:space="preserve"> decrease</w:t>
      </w:r>
      <w:r w:rsidRPr="00092F9A">
        <w:rPr>
          <w:sz w:val="20"/>
        </w:rPr>
        <w:t xml:space="preserve"> attributable to travel, promotional and office expenditures related to the exploration and evaluation activities during the </w:t>
      </w:r>
      <w:r w:rsidR="00D50315" w:rsidRPr="00092F9A">
        <w:rPr>
          <w:sz w:val="20"/>
        </w:rPr>
        <w:t>period ended June 30, 2020</w:t>
      </w:r>
      <w:r w:rsidRPr="00092F9A">
        <w:rPr>
          <w:sz w:val="20"/>
        </w:rPr>
        <w:t>.</w:t>
      </w:r>
      <w:r w:rsidR="00F01187" w:rsidRPr="00092F9A">
        <w:rPr>
          <w:sz w:val="20"/>
        </w:rPr>
        <w:t xml:space="preserve"> In addition, due to the impact of Covid-19 on the last quarter for fiscal 2020, Company operations and expenditures were slowed.</w:t>
      </w:r>
    </w:p>
    <w:p w14:paraId="4E38E394" w14:textId="57741127" w:rsidR="005535F7" w:rsidRPr="00092F9A" w:rsidRDefault="005535F7" w:rsidP="004B4ED8">
      <w:pPr>
        <w:widowControl/>
        <w:numPr>
          <w:ilvl w:val="0"/>
          <w:numId w:val="28"/>
        </w:numPr>
        <w:rPr>
          <w:sz w:val="20"/>
        </w:rPr>
      </w:pPr>
      <w:r w:rsidRPr="00092F9A">
        <w:rPr>
          <w:sz w:val="20"/>
        </w:rPr>
        <w:t>Management and consulting fees of $127,294 (2019 - $87,059) relate to general consulting and managements fees. The Company relies heavily on Consultants to help them achieve their goals on all facets of business. Consultants include Management, Advisors, Technical Support and other support roles. The increase during the period ended June 30, 2020 mainly relates to marketing efforts amid Covid-19 pandemic.</w:t>
      </w:r>
    </w:p>
    <w:p w14:paraId="380A27F6" w14:textId="756BA515" w:rsidR="004B4ED8" w:rsidRPr="00092F9A" w:rsidRDefault="004B4ED8" w:rsidP="004B4ED8">
      <w:pPr>
        <w:widowControl/>
        <w:numPr>
          <w:ilvl w:val="0"/>
          <w:numId w:val="28"/>
        </w:numPr>
        <w:autoSpaceDE w:val="0"/>
        <w:autoSpaceDN w:val="0"/>
        <w:adjustRightInd w:val="0"/>
        <w:jc w:val="both"/>
        <w:rPr>
          <w:sz w:val="20"/>
        </w:rPr>
      </w:pPr>
      <w:r w:rsidRPr="00092F9A">
        <w:rPr>
          <w:sz w:val="20"/>
        </w:rPr>
        <w:t xml:space="preserve">The Company recorded interest </w:t>
      </w:r>
      <w:r w:rsidR="00980F85" w:rsidRPr="00092F9A">
        <w:rPr>
          <w:sz w:val="20"/>
        </w:rPr>
        <w:t xml:space="preserve">expense </w:t>
      </w:r>
      <w:r w:rsidRPr="00092F9A">
        <w:rPr>
          <w:sz w:val="20"/>
        </w:rPr>
        <w:t>income of $</w:t>
      </w:r>
      <w:r w:rsidR="00980F85" w:rsidRPr="00092F9A">
        <w:rPr>
          <w:sz w:val="20"/>
        </w:rPr>
        <w:t xml:space="preserve">664 </w:t>
      </w:r>
      <w:r w:rsidRPr="00092F9A">
        <w:rPr>
          <w:sz w:val="20"/>
        </w:rPr>
        <w:t xml:space="preserve">(2019 </w:t>
      </w:r>
      <w:r w:rsidR="00980F85" w:rsidRPr="00092F9A">
        <w:rPr>
          <w:sz w:val="20"/>
        </w:rPr>
        <w:t>–</w:t>
      </w:r>
      <w:r w:rsidRPr="00092F9A">
        <w:rPr>
          <w:sz w:val="20"/>
        </w:rPr>
        <w:t xml:space="preserve"> </w:t>
      </w:r>
      <w:r w:rsidR="00980F85" w:rsidRPr="00092F9A">
        <w:rPr>
          <w:sz w:val="20"/>
        </w:rPr>
        <w:t xml:space="preserve">income </w:t>
      </w:r>
      <w:r w:rsidRPr="00092F9A">
        <w:rPr>
          <w:sz w:val="20"/>
        </w:rPr>
        <w:t>$</w:t>
      </w:r>
      <w:r w:rsidR="00980F85" w:rsidRPr="00092F9A">
        <w:rPr>
          <w:sz w:val="20"/>
        </w:rPr>
        <w:t xml:space="preserve">3,250). The 2019 </w:t>
      </w:r>
      <w:r w:rsidR="00A63A8A" w:rsidRPr="00092F9A">
        <w:rPr>
          <w:sz w:val="20"/>
        </w:rPr>
        <w:t>income relates</w:t>
      </w:r>
      <w:r w:rsidRPr="00092F9A">
        <w:rPr>
          <w:sz w:val="20"/>
        </w:rPr>
        <w:t xml:space="preserve"> to the interest earned on the Company’s GIC</w:t>
      </w:r>
      <w:r w:rsidR="00980F85" w:rsidRPr="00092F9A">
        <w:rPr>
          <w:sz w:val="20"/>
        </w:rPr>
        <w:t xml:space="preserve"> which is redeemed during the period ended June 30, 2020.</w:t>
      </w:r>
    </w:p>
    <w:p w14:paraId="78ABE2BA" w14:textId="69DE906D" w:rsidR="009029DB" w:rsidRPr="00092F9A" w:rsidRDefault="004B4ED8" w:rsidP="009029DB">
      <w:pPr>
        <w:widowControl/>
        <w:numPr>
          <w:ilvl w:val="0"/>
          <w:numId w:val="28"/>
        </w:numPr>
        <w:autoSpaceDE w:val="0"/>
        <w:autoSpaceDN w:val="0"/>
        <w:adjustRightInd w:val="0"/>
        <w:jc w:val="both"/>
        <w:rPr>
          <w:sz w:val="20"/>
        </w:rPr>
      </w:pPr>
      <w:r w:rsidRPr="00092F9A">
        <w:rPr>
          <w:sz w:val="20"/>
        </w:rPr>
        <w:t>The Company recorded a reversal of flow through liability of $</w:t>
      </w:r>
      <w:r w:rsidR="00A63A8A" w:rsidRPr="00092F9A">
        <w:rPr>
          <w:sz w:val="20"/>
        </w:rPr>
        <w:t>31,201</w:t>
      </w:r>
      <w:r w:rsidRPr="00092F9A">
        <w:rPr>
          <w:sz w:val="20"/>
        </w:rPr>
        <w:t xml:space="preserve"> (2019 - $</w:t>
      </w:r>
      <w:r w:rsidR="00A63A8A" w:rsidRPr="00092F9A">
        <w:rPr>
          <w:sz w:val="20"/>
        </w:rPr>
        <w:t>439,118</w:t>
      </w:r>
      <w:r w:rsidRPr="00092F9A">
        <w:rPr>
          <w:sz w:val="20"/>
        </w:rPr>
        <w:t>), which reflects the exploration and evaluation expenditures incurred during the period.</w:t>
      </w:r>
    </w:p>
    <w:p w14:paraId="7525FC04" w14:textId="5156351D" w:rsidR="00AF000E" w:rsidRPr="00092F9A" w:rsidRDefault="00AF000E" w:rsidP="009029DB">
      <w:pPr>
        <w:widowControl/>
        <w:numPr>
          <w:ilvl w:val="0"/>
          <w:numId w:val="28"/>
        </w:numPr>
        <w:autoSpaceDE w:val="0"/>
        <w:autoSpaceDN w:val="0"/>
        <w:adjustRightInd w:val="0"/>
        <w:jc w:val="both"/>
        <w:rPr>
          <w:sz w:val="20"/>
        </w:rPr>
      </w:pPr>
      <w:r w:rsidRPr="00092F9A">
        <w:rPr>
          <w:sz w:val="20"/>
        </w:rPr>
        <w:t xml:space="preserve">The Company </w:t>
      </w:r>
      <w:r w:rsidR="00A63A8A" w:rsidRPr="00092F9A">
        <w:rPr>
          <w:sz w:val="20"/>
        </w:rPr>
        <w:t>recorded un</w:t>
      </w:r>
      <w:r w:rsidRPr="00092F9A">
        <w:rPr>
          <w:sz w:val="20"/>
        </w:rPr>
        <w:t xml:space="preserve">realized </w:t>
      </w:r>
      <w:r w:rsidR="002A26C5" w:rsidRPr="00092F9A">
        <w:rPr>
          <w:sz w:val="20"/>
        </w:rPr>
        <w:t>gain</w:t>
      </w:r>
      <w:r w:rsidR="00A63A8A" w:rsidRPr="00092F9A">
        <w:rPr>
          <w:sz w:val="20"/>
        </w:rPr>
        <w:t xml:space="preserve"> on</w:t>
      </w:r>
      <w:r w:rsidRPr="00092F9A">
        <w:rPr>
          <w:sz w:val="20"/>
        </w:rPr>
        <w:t xml:space="preserve"> marketable securities of </w:t>
      </w:r>
      <w:r w:rsidR="00FA50D4" w:rsidRPr="00092F9A">
        <w:rPr>
          <w:sz w:val="20"/>
        </w:rPr>
        <w:t>$</w:t>
      </w:r>
      <w:r w:rsidR="002A26C5" w:rsidRPr="00092F9A">
        <w:rPr>
          <w:sz w:val="20"/>
        </w:rPr>
        <w:t>48,690</w:t>
      </w:r>
      <w:r w:rsidRPr="00092F9A">
        <w:rPr>
          <w:sz w:val="20"/>
        </w:rPr>
        <w:t xml:space="preserve"> as the company </w:t>
      </w:r>
      <w:r w:rsidR="00A63A8A" w:rsidRPr="00092F9A">
        <w:rPr>
          <w:sz w:val="20"/>
        </w:rPr>
        <w:t>held Osprey shares during the period ended June 30, 2020.</w:t>
      </w:r>
    </w:p>
    <w:p w14:paraId="734087D4" w14:textId="0F355635" w:rsidR="00022B1A" w:rsidRPr="00092F9A" w:rsidRDefault="00022B1A" w:rsidP="009029DB">
      <w:pPr>
        <w:widowControl/>
        <w:numPr>
          <w:ilvl w:val="0"/>
          <w:numId w:val="28"/>
        </w:numPr>
        <w:autoSpaceDE w:val="0"/>
        <w:autoSpaceDN w:val="0"/>
        <w:adjustRightInd w:val="0"/>
        <w:jc w:val="both"/>
        <w:rPr>
          <w:sz w:val="20"/>
        </w:rPr>
      </w:pPr>
      <w:r w:rsidRPr="00092F9A">
        <w:rPr>
          <w:sz w:val="20"/>
        </w:rPr>
        <w:t xml:space="preserve">The Company recorded gain on sale of marketable securities from the sale of the </w:t>
      </w:r>
      <w:r w:rsidR="006A1F0D" w:rsidRPr="00092F9A">
        <w:rPr>
          <w:sz w:val="20"/>
        </w:rPr>
        <w:t xml:space="preserve">3,177,000 </w:t>
      </w:r>
      <w:r w:rsidRPr="00092F9A">
        <w:rPr>
          <w:sz w:val="20"/>
        </w:rPr>
        <w:t>Osprey common shares</w:t>
      </w:r>
      <w:r w:rsidR="006307A0" w:rsidRPr="00092F9A">
        <w:rPr>
          <w:sz w:val="20"/>
        </w:rPr>
        <w:t xml:space="preserve"> for gross proceeds of $192,443</w:t>
      </w:r>
      <w:r w:rsidRPr="00092F9A">
        <w:rPr>
          <w:sz w:val="20"/>
        </w:rPr>
        <w:t xml:space="preserve"> during the period ended June 30, 2020</w:t>
      </w:r>
      <w:r w:rsidR="006307A0" w:rsidRPr="00092F9A">
        <w:rPr>
          <w:sz w:val="20"/>
        </w:rPr>
        <w:t>.</w:t>
      </w:r>
    </w:p>
    <w:p w14:paraId="4D422ECC" w14:textId="77777777" w:rsidR="004B4ED8" w:rsidRDefault="004B4ED8" w:rsidP="004B4ED8">
      <w:pPr>
        <w:widowControl/>
        <w:autoSpaceDE w:val="0"/>
        <w:autoSpaceDN w:val="0"/>
        <w:adjustRightInd w:val="0"/>
        <w:jc w:val="both"/>
        <w:rPr>
          <w:sz w:val="20"/>
        </w:rPr>
      </w:pPr>
    </w:p>
    <w:p w14:paraId="5EACFA6C" w14:textId="4B03F779" w:rsidR="00672318" w:rsidRDefault="00672318" w:rsidP="004B4ED8">
      <w:pPr>
        <w:widowControl/>
        <w:autoSpaceDE w:val="0"/>
        <w:autoSpaceDN w:val="0"/>
        <w:adjustRightInd w:val="0"/>
        <w:jc w:val="both"/>
        <w:rPr>
          <w:b/>
          <w:caps/>
          <w:sz w:val="20"/>
        </w:rPr>
      </w:pPr>
      <w:r>
        <w:rPr>
          <w:b/>
          <w:caps/>
          <w:sz w:val="20"/>
        </w:rPr>
        <w:t>C</w:t>
      </w:r>
      <w:r w:rsidRPr="00F35544">
        <w:rPr>
          <w:b/>
          <w:caps/>
          <w:sz w:val="20"/>
        </w:rPr>
        <w:t>ONSOLIDATED RESULTS OF OPERATIONS</w:t>
      </w:r>
      <w:r>
        <w:rPr>
          <w:b/>
          <w:caps/>
          <w:sz w:val="20"/>
        </w:rPr>
        <w:t xml:space="preserve"> (CONTINUED)</w:t>
      </w:r>
    </w:p>
    <w:p w14:paraId="456E9813" w14:textId="77777777" w:rsidR="004B4ED8" w:rsidRDefault="004B4ED8" w:rsidP="004B4ED8">
      <w:pPr>
        <w:widowControl/>
        <w:autoSpaceDE w:val="0"/>
        <w:autoSpaceDN w:val="0"/>
        <w:adjustRightInd w:val="0"/>
        <w:jc w:val="both"/>
        <w:rPr>
          <w:sz w:val="20"/>
        </w:rPr>
      </w:pPr>
    </w:p>
    <w:p w14:paraId="3ECCEBA4" w14:textId="77777777" w:rsidR="00A72820" w:rsidRDefault="00A72820" w:rsidP="00A72820">
      <w:pPr>
        <w:adjustRightInd w:val="0"/>
        <w:spacing w:after="120"/>
        <w:jc w:val="both"/>
        <w:rPr>
          <w:b/>
          <w:caps/>
          <w:sz w:val="20"/>
        </w:rPr>
      </w:pPr>
      <w:r>
        <w:rPr>
          <w:b/>
          <w:caps/>
          <w:sz w:val="20"/>
        </w:rPr>
        <w:t>SUMMARY OF QUARTERLY RESULTS</w:t>
      </w:r>
    </w:p>
    <w:p w14:paraId="5678CB24" w14:textId="77777777" w:rsidR="00A72820" w:rsidRDefault="00A72820" w:rsidP="00A72820">
      <w:pPr>
        <w:adjustRightInd w:val="0"/>
        <w:jc w:val="both"/>
        <w:rPr>
          <w:sz w:val="20"/>
        </w:rPr>
      </w:pPr>
      <w:r>
        <w:rPr>
          <w:sz w:val="20"/>
        </w:rPr>
        <w:t xml:space="preserve">The table below presents selected financial data for the Company’s eight most recently completed quarters, all prepared in accordance with IFRS. </w:t>
      </w:r>
    </w:p>
    <w:p w14:paraId="731618BD" w14:textId="77777777" w:rsidR="00A72820" w:rsidRDefault="00A72820" w:rsidP="00A72820">
      <w:pPr>
        <w:adjustRightInd w:val="0"/>
        <w:jc w:val="both"/>
        <w:rPr>
          <w:sz w:val="20"/>
        </w:rPr>
      </w:pPr>
    </w:p>
    <w:tbl>
      <w:tblPr>
        <w:tblW w:w="9593" w:type="dxa"/>
        <w:tblInd w:w="108" w:type="dxa"/>
        <w:tblLayout w:type="fixed"/>
        <w:tblLook w:val="04A0" w:firstRow="1" w:lastRow="0" w:firstColumn="1" w:lastColumn="0" w:noHBand="0" w:noVBand="1"/>
      </w:tblPr>
      <w:tblGrid>
        <w:gridCol w:w="1245"/>
        <w:gridCol w:w="1095"/>
        <w:gridCol w:w="1026"/>
        <w:gridCol w:w="1026"/>
        <w:gridCol w:w="1046"/>
        <w:gridCol w:w="1029"/>
        <w:gridCol w:w="1026"/>
        <w:gridCol w:w="1044"/>
        <w:gridCol w:w="1056"/>
      </w:tblGrid>
      <w:tr w:rsidR="00535174" w:rsidRPr="004427A8" w14:paraId="0304F96D" w14:textId="77777777" w:rsidTr="00786D71">
        <w:trPr>
          <w:trHeight w:val="187"/>
        </w:trPr>
        <w:tc>
          <w:tcPr>
            <w:tcW w:w="1245" w:type="dxa"/>
            <w:tcBorders>
              <w:top w:val="double" w:sz="4" w:space="0" w:color="auto"/>
              <w:left w:val="nil"/>
              <w:bottom w:val="nil"/>
              <w:right w:val="nil"/>
            </w:tcBorders>
            <w:shd w:val="clear" w:color="000000" w:fill="FFFFFF"/>
            <w:noWrap/>
            <w:vAlign w:val="bottom"/>
            <w:hideMark/>
          </w:tcPr>
          <w:p w14:paraId="31C003BF" w14:textId="77777777" w:rsidR="00535174" w:rsidRPr="004427A8" w:rsidRDefault="00535174" w:rsidP="00535174">
            <w:pPr>
              <w:widowControl/>
              <w:rPr>
                <w:sz w:val="18"/>
                <w:szCs w:val="18"/>
                <w:lang w:val="en-CA" w:eastAsia="en-CA"/>
              </w:rPr>
            </w:pPr>
            <w:r w:rsidRPr="004427A8">
              <w:rPr>
                <w:sz w:val="18"/>
                <w:szCs w:val="18"/>
                <w:lang w:val="en-CA" w:eastAsia="en-CA"/>
              </w:rPr>
              <w:t> </w:t>
            </w:r>
          </w:p>
        </w:tc>
        <w:tc>
          <w:tcPr>
            <w:tcW w:w="1095" w:type="dxa"/>
            <w:tcBorders>
              <w:top w:val="double" w:sz="4" w:space="0" w:color="auto"/>
              <w:left w:val="nil"/>
              <w:right w:val="nil"/>
            </w:tcBorders>
            <w:shd w:val="clear" w:color="000000" w:fill="FFFFFF"/>
          </w:tcPr>
          <w:p w14:paraId="2E5C7E3F" w14:textId="6826DAFB" w:rsidR="00535174" w:rsidRDefault="00535174" w:rsidP="00535174">
            <w:pPr>
              <w:widowControl/>
              <w:ind w:right="15"/>
              <w:jc w:val="right"/>
              <w:rPr>
                <w:bCs/>
                <w:sz w:val="18"/>
                <w:szCs w:val="18"/>
                <w:lang w:val="en-CA" w:eastAsia="en-CA"/>
              </w:rPr>
            </w:pPr>
            <w:r>
              <w:rPr>
                <w:bCs/>
                <w:sz w:val="18"/>
                <w:szCs w:val="18"/>
                <w:lang w:val="en-CA" w:eastAsia="en-CA"/>
              </w:rPr>
              <w:t>June 30</w:t>
            </w:r>
          </w:p>
        </w:tc>
        <w:tc>
          <w:tcPr>
            <w:tcW w:w="1026" w:type="dxa"/>
            <w:tcBorders>
              <w:top w:val="double" w:sz="4" w:space="0" w:color="auto"/>
              <w:left w:val="nil"/>
              <w:right w:val="nil"/>
            </w:tcBorders>
            <w:shd w:val="clear" w:color="000000" w:fill="FFFFFF"/>
            <w:noWrap/>
          </w:tcPr>
          <w:p w14:paraId="2D63F1C8" w14:textId="182D7F1A" w:rsidR="00535174" w:rsidRPr="004427A8" w:rsidRDefault="00535174" w:rsidP="00535174">
            <w:pPr>
              <w:widowControl/>
              <w:ind w:right="15"/>
              <w:jc w:val="right"/>
              <w:rPr>
                <w:bCs/>
                <w:sz w:val="18"/>
                <w:szCs w:val="18"/>
                <w:lang w:val="en-CA" w:eastAsia="en-CA"/>
              </w:rPr>
            </w:pPr>
            <w:r>
              <w:rPr>
                <w:bCs/>
                <w:sz w:val="18"/>
                <w:szCs w:val="18"/>
                <w:lang w:val="en-CA" w:eastAsia="en-CA"/>
              </w:rPr>
              <w:t>Mar 31</w:t>
            </w:r>
          </w:p>
        </w:tc>
        <w:tc>
          <w:tcPr>
            <w:tcW w:w="1026" w:type="dxa"/>
            <w:tcBorders>
              <w:top w:val="double" w:sz="4" w:space="0" w:color="auto"/>
              <w:left w:val="nil"/>
              <w:right w:val="nil"/>
            </w:tcBorders>
            <w:shd w:val="clear" w:color="000000" w:fill="FFFFFF"/>
            <w:noWrap/>
            <w:hideMark/>
          </w:tcPr>
          <w:p w14:paraId="6E3F56A7" w14:textId="3EAFAB74" w:rsidR="00535174" w:rsidRPr="004427A8" w:rsidRDefault="00535174" w:rsidP="00535174">
            <w:pPr>
              <w:widowControl/>
              <w:ind w:right="15"/>
              <w:jc w:val="right"/>
              <w:rPr>
                <w:bCs/>
                <w:sz w:val="18"/>
                <w:szCs w:val="18"/>
                <w:lang w:val="en-CA" w:eastAsia="en-CA"/>
              </w:rPr>
            </w:pPr>
            <w:r>
              <w:rPr>
                <w:bCs/>
                <w:sz w:val="18"/>
                <w:szCs w:val="18"/>
                <w:lang w:val="en-CA" w:eastAsia="en-CA"/>
              </w:rPr>
              <w:t>Dec 31</w:t>
            </w:r>
          </w:p>
        </w:tc>
        <w:tc>
          <w:tcPr>
            <w:tcW w:w="1046" w:type="dxa"/>
            <w:tcBorders>
              <w:top w:val="double" w:sz="4" w:space="0" w:color="auto"/>
              <w:left w:val="nil"/>
              <w:right w:val="nil"/>
            </w:tcBorders>
            <w:shd w:val="clear" w:color="000000" w:fill="FFFFFF"/>
            <w:noWrap/>
            <w:vAlign w:val="bottom"/>
            <w:hideMark/>
          </w:tcPr>
          <w:p w14:paraId="0EEC2C13" w14:textId="6E2DB719" w:rsidR="00535174" w:rsidRPr="004427A8" w:rsidRDefault="00535174" w:rsidP="00535174">
            <w:pPr>
              <w:widowControl/>
              <w:ind w:right="15"/>
              <w:jc w:val="right"/>
              <w:rPr>
                <w:bCs/>
                <w:sz w:val="18"/>
                <w:szCs w:val="18"/>
                <w:lang w:val="en-CA" w:eastAsia="en-CA"/>
              </w:rPr>
            </w:pPr>
            <w:r>
              <w:rPr>
                <w:bCs/>
                <w:sz w:val="18"/>
                <w:szCs w:val="18"/>
                <w:lang w:val="en-CA" w:eastAsia="en-CA"/>
              </w:rPr>
              <w:t>Sep</w:t>
            </w:r>
            <w:r w:rsidRPr="004427A8">
              <w:rPr>
                <w:bCs/>
                <w:sz w:val="18"/>
                <w:szCs w:val="18"/>
                <w:lang w:val="en-CA" w:eastAsia="en-CA"/>
              </w:rPr>
              <w:t xml:space="preserve"> 30, </w:t>
            </w:r>
          </w:p>
        </w:tc>
        <w:tc>
          <w:tcPr>
            <w:tcW w:w="1029" w:type="dxa"/>
            <w:tcBorders>
              <w:top w:val="double" w:sz="4" w:space="0" w:color="auto"/>
              <w:left w:val="nil"/>
              <w:right w:val="nil"/>
            </w:tcBorders>
            <w:shd w:val="clear" w:color="000000" w:fill="FFFFFF"/>
            <w:noWrap/>
            <w:vAlign w:val="bottom"/>
            <w:hideMark/>
          </w:tcPr>
          <w:p w14:paraId="15637B7E" w14:textId="3478F772"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Jun 30, </w:t>
            </w:r>
          </w:p>
        </w:tc>
        <w:tc>
          <w:tcPr>
            <w:tcW w:w="1026" w:type="dxa"/>
            <w:tcBorders>
              <w:top w:val="double" w:sz="4" w:space="0" w:color="auto"/>
              <w:left w:val="nil"/>
              <w:right w:val="nil"/>
            </w:tcBorders>
            <w:shd w:val="clear" w:color="000000" w:fill="FFFFFF"/>
            <w:noWrap/>
            <w:vAlign w:val="bottom"/>
            <w:hideMark/>
          </w:tcPr>
          <w:p w14:paraId="24855928" w14:textId="2D4479A3"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Mar 31, </w:t>
            </w:r>
          </w:p>
        </w:tc>
        <w:tc>
          <w:tcPr>
            <w:tcW w:w="1044" w:type="dxa"/>
            <w:tcBorders>
              <w:top w:val="double" w:sz="4" w:space="0" w:color="auto"/>
              <w:left w:val="nil"/>
              <w:right w:val="nil"/>
            </w:tcBorders>
            <w:shd w:val="clear" w:color="000000" w:fill="FFFFFF"/>
            <w:noWrap/>
            <w:vAlign w:val="bottom"/>
            <w:hideMark/>
          </w:tcPr>
          <w:p w14:paraId="2ABA18D7" w14:textId="5C61979B" w:rsidR="00535174" w:rsidRPr="004427A8" w:rsidRDefault="00535174" w:rsidP="00535174">
            <w:pPr>
              <w:widowControl/>
              <w:jc w:val="right"/>
              <w:rPr>
                <w:bCs/>
                <w:sz w:val="18"/>
                <w:szCs w:val="18"/>
                <w:lang w:val="en-CA" w:eastAsia="en-CA"/>
              </w:rPr>
            </w:pPr>
            <w:r w:rsidRPr="004427A8">
              <w:rPr>
                <w:bCs/>
                <w:sz w:val="18"/>
                <w:szCs w:val="18"/>
                <w:lang w:val="en-CA" w:eastAsia="en-CA"/>
              </w:rPr>
              <w:t>Dec 31</w:t>
            </w:r>
          </w:p>
        </w:tc>
        <w:tc>
          <w:tcPr>
            <w:tcW w:w="1056" w:type="dxa"/>
            <w:tcBorders>
              <w:top w:val="double" w:sz="4" w:space="0" w:color="auto"/>
              <w:left w:val="nil"/>
              <w:right w:val="nil"/>
            </w:tcBorders>
            <w:shd w:val="clear" w:color="000000" w:fill="FFFFFF"/>
            <w:noWrap/>
            <w:vAlign w:val="bottom"/>
            <w:hideMark/>
          </w:tcPr>
          <w:p w14:paraId="4057CA9F" w14:textId="11D2C460"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Sep 30 </w:t>
            </w:r>
          </w:p>
        </w:tc>
      </w:tr>
      <w:tr w:rsidR="00535174" w:rsidRPr="004427A8" w14:paraId="71635493" w14:textId="77777777" w:rsidTr="00786D71">
        <w:trPr>
          <w:trHeight w:val="187"/>
        </w:trPr>
        <w:tc>
          <w:tcPr>
            <w:tcW w:w="1245" w:type="dxa"/>
            <w:tcBorders>
              <w:top w:val="nil"/>
              <w:left w:val="nil"/>
              <w:right w:val="nil"/>
            </w:tcBorders>
            <w:shd w:val="clear" w:color="000000" w:fill="FFFFFF"/>
            <w:noWrap/>
            <w:vAlign w:val="bottom"/>
            <w:hideMark/>
          </w:tcPr>
          <w:p w14:paraId="70E17EE5" w14:textId="77777777" w:rsidR="00535174" w:rsidRPr="004427A8" w:rsidRDefault="00535174" w:rsidP="00535174">
            <w:pPr>
              <w:widowControl/>
              <w:rPr>
                <w:sz w:val="18"/>
                <w:szCs w:val="18"/>
                <w:lang w:val="en-CA" w:eastAsia="en-CA"/>
              </w:rPr>
            </w:pPr>
            <w:r w:rsidRPr="004427A8">
              <w:rPr>
                <w:sz w:val="18"/>
                <w:szCs w:val="18"/>
                <w:lang w:val="en-CA" w:eastAsia="en-CA"/>
              </w:rPr>
              <w:t> </w:t>
            </w:r>
          </w:p>
        </w:tc>
        <w:tc>
          <w:tcPr>
            <w:tcW w:w="1095" w:type="dxa"/>
            <w:tcBorders>
              <w:top w:val="nil"/>
              <w:left w:val="nil"/>
              <w:right w:val="nil"/>
            </w:tcBorders>
            <w:shd w:val="clear" w:color="000000" w:fill="FFFFFF"/>
          </w:tcPr>
          <w:p w14:paraId="15CE0F28" w14:textId="77777777" w:rsidR="00535174" w:rsidRPr="004427A8" w:rsidRDefault="00535174" w:rsidP="00535174">
            <w:pPr>
              <w:widowControl/>
              <w:jc w:val="right"/>
              <w:rPr>
                <w:bCs/>
                <w:sz w:val="18"/>
                <w:szCs w:val="18"/>
                <w:lang w:val="en-CA" w:eastAsia="en-CA"/>
              </w:rPr>
            </w:pPr>
            <w:r>
              <w:rPr>
                <w:bCs/>
                <w:sz w:val="18"/>
                <w:szCs w:val="18"/>
                <w:lang w:val="en-CA" w:eastAsia="en-CA"/>
              </w:rPr>
              <w:t>2020</w:t>
            </w:r>
          </w:p>
        </w:tc>
        <w:tc>
          <w:tcPr>
            <w:tcW w:w="1026" w:type="dxa"/>
            <w:tcBorders>
              <w:top w:val="nil"/>
              <w:left w:val="nil"/>
              <w:right w:val="nil"/>
            </w:tcBorders>
            <w:shd w:val="clear" w:color="000000" w:fill="FFFFFF"/>
            <w:noWrap/>
          </w:tcPr>
          <w:p w14:paraId="1D283498" w14:textId="4E1A73BB" w:rsidR="00535174" w:rsidRPr="004427A8" w:rsidRDefault="00535174" w:rsidP="00535174">
            <w:pPr>
              <w:widowControl/>
              <w:jc w:val="right"/>
              <w:rPr>
                <w:bCs/>
                <w:sz w:val="18"/>
                <w:szCs w:val="18"/>
                <w:lang w:val="en-CA" w:eastAsia="en-CA"/>
              </w:rPr>
            </w:pPr>
            <w:r>
              <w:rPr>
                <w:bCs/>
                <w:sz w:val="18"/>
                <w:szCs w:val="18"/>
                <w:lang w:val="en-CA" w:eastAsia="en-CA"/>
              </w:rPr>
              <w:t>2020</w:t>
            </w:r>
          </w:p>
        </w:tc>
        <w:tc>
          <w:tcPr>
            <w:tcW w:w="1026" w:type="dxa"/>
            <w:tcBorders>
              <w:top w:val="nil"/>
              <w:left w:val="nil"/>
              <w:right w:val="nil"/>
            </w:tcBorders>
            <w:shd w:val="clear" w:color="000000" w:fill="FFFFFF"/>
            <w:noWrap/>
            <w:hideMark/>
          </w:tcPr>
          <w:p w14:paraId="2A767480" w14:textId="2F86DA16" w:rsidR="00535174" w:rsidRPr="004427A8" w:rsidRDefault="00535174" w:rsidP="00535174">
            <w:pPr>
              <w:widowControl/>
              <w:jc w:val="right"/>
              <w:rPr>
                <w:bCs/>
                <w:sz w:val="18"/>
                <w:szCs w:val="18"/>
                <w:lang w:val="en-CA" w:eastAsia="en-CA"/>
              </w:rPr>
            </w:pPr>
            <w:r>
              <w:rPr>
                <w:bCs/>
                <w:sz w:val="18"/>
                <w:szCs w:val="18"/>
                <w:lang w:val="en-CA" w:eastAsia="en-CA"/>
              </w:rPr>
              <w:t>2019</w:t>
            </w:r>
          </w:p>
        </w:tc>
        <w:tc>
          <w:tcPr>
            <w:tcW w:w="1046" w:type="dxa"/>
            <w:tcBorders>
              <w:top w:val="nil"/>
              <w:left w:val="nil"/>
              <w:right w:val="nil"/>
            </w:tcBorders>
            <w:shd w:val="clear" w:color="000000" w:fill="FFFFFF"/>
            <w:noWrap/>
            <w:vAlign w:val="bottom"/>
            <w:hideMark/>
          </w:tcPr>
          <w:p w14:paraId="1D601EB4" w14:textId="5B7816C2" w:rsidR="00535174" w:rsidRPr="004427A8" w:rsidRDefault="00535174" w:rsidP="00535174">
            <w:pPr>
              <w:widowControl/>
              <w:jc w:val="right"/>
              <w:rPr>
                <w:bCs/>
                <w:sz w:val="18"/>
                <w:szCs w:val="18"/>
                <w:lang w:val="en-CA" w:eastAsia="en-CA"/>
              </w:rPr>
            </w:pPr>
            <w:r w:rsidRPr="004427A8">
              <w:rPr>
                <w:bCs/>
                <w:sz w:val="18"/>
                <w:szCs w:val="18"/>
                <w:lang w:val="en-CA" w:eastAsia="en-CA"/>
              </w:rPr>
              <w:t>2019</w:t>
            </w:r>
          </w:p>
        </w:tc>
        <w:tc>
          <w:tcPr>
            <w:tcW w:w="1029" w:type="dxa"/>
            <w:tcBorders>
              <w:top w:val="nil"/>
              <w:left w:val="nil"/>
              <w:right w:val="nil"/>
            </w:tcBorders>
            <w:shd w:val="clear" w:color="000000" w:fill="FFFFFF"/>
            <w:noWrap/>
            <w:vAlign w:val="bottom"/>
            <w:hideMark/>
          </w:tcPr>
          <w:p w14:paraId="0B86AED1" w14:textId="15647CCA" w:rsidR="00535174" w:rsidRPr="004427A8" w:rsidRDefault="00535174" w:rsidP="00535174">
            <w:pPr>
              <w:widowControl/>
              <w:jc w:val="right"/>
              <w:rPr>
                <w:bCs/>
                <w:sz w:val="18"/>
                <w:szCs w:val="18"/>
                <w:lang w:val="en-CA" w:eastAsia="en-CA"/>
              </w:rPr>
            </w:pPr>
            <w:r w:rsidRPr="004427A8">
              <w:rPr>
                <w:bCs/>
                <w:sz w:val="18"/>
                <w:szCs w:val="18"/>
                <w:lang w:val="en-CA" w:eastAsia="en-CA"/>
              </w:rPr>
              <w:t>2019</w:t>
            </w:r>
          </w:p>
        </w:tc>
        <w:tc>
          <w:tcPr>
            <w:tcW w:w="1026" w:type="dxa"/>
            <w:tcBorders>
              <w:top w:val="nil"/>
              <w:left w:val="nil"/>
              <w:right w:val="nil"/>
            </w:tcBorders>
            <w:shd w:val="clear" w:color="000000" w:fill="FFFFFF"/>
            <w:noWrap/>
            <w:vAlign w:val="bottom"/>
            <w:hideMark/>
          </w:tcPr>
          <w:p w14:paraId="48ED5015" w14:textId="5E274E42" w:rsidR="00535174" w:rsidRPr="004427A8" w:rsidRDefault="00535174" w:rsidP="00535174">
            <w:pPr>
              <w:widowControl/>
              <w:jc w:val="right"/>
              <w:rPr>
                <w:bCs/>
                <w:sz w:val="18"/>
                <w:szCs w:val="18"/>
                <w:lang w:val="en-CA" w:eastAsia="en-CA"/>
              </w:rPr>
            </w:pPr>
            <w:r w:rsidRPr="004427A8">
              <w:rPr>
                <w:bCs/>
                <w:sz w:val="18"/>
                <w:szCs w:val="18"/>
                <w:lang w:val="en-CA" w:eastAsia="en-CA"/>
              </w:rPr>
              <w:t>2019</w:t>
            </w:r>
          </w:p>
        </w:tc>
        <w:tc>
          <w:tcPr>
            <w:tcW w:w="1044" w:type="dxa"/>
            <w:tcBorders>
              <w:top w:val="nil"/>
              <w:left w:val="nil"/>
              <w:right w:val="nil"/>
            </w:tcBorders>
            <w:shd w:val="clear" w:color="000000" w:fill="FFFFFF"/>
            <w:noWrap/>
            <w:vAlign w:val="bottom"/>
            <w:hideMark/>
          </w:tcPr>
          <w:p w14:paraId="53260C65" w14:textId="79CBDE1B" w:rsidR="00535174" w:rsidRPr="004427A8" w:rsidRDefault="00535174" w:rsidP="00535174">
            <w:pPr>
              <w:widowControl/>
              <w:jc w:val="right"/>
              <w:rPr>
                <w:bCs/>
                <w:sz w:val="18"/>
                <w:szCs w:val="18"/>
                <w:lang w:val="en-CA" w:eastAsia="en-CA"/>
              </w:rPr>
            </w:pPr>
            <w:r w:rsidRPr="004427A8">
              <w:rPr>
                <w:bCs/>
                <w:sz w:val="18"/>
                <w:szCs w:val="18"/>
                <w:lang w:val="en-CA" w:eastAsia="en-CA"/>
              </w:rPr>
              <w:t>2018</w:t>
            </w:r>
          </w:p>
        </w:tc>
        <w:tc>
          <w:tcPr>
            <w:tcW w:w="1056" w:type="dxa"/>
            <w:tcBorders>
              <w:top w:val="nil"/>
              <w:left w:val="nil"/>
              <w:right w:val="nil"/>
            </w:tcBorders>
            <w:shd w:val="clear" w:color="000000" w:fill="FFFFFF"/>
            <w:noWrap/>
            <w:vAlign w:val="bottom"/>
            <w:hideMark/>
          </w:tcPr>
          <w:p w14:paraId="75B66591" w14:textId="3E31AC82" w:rsidR="00535174" w:rsidRPr="004427A8" w:rsidRDefault="00535174" w:rsidP="00535174">
            <w:pPr>
              <w:widowControl/>
              <w:jc w:val="right"/>
              <w:rPr>
                <w:bCs/>
                <w:sz w:val="18"/>
                <w:szCs w:val="18"/>
                <w:lang w:val="en-CA" w:eastAsia="en-CA"/>
              </w:rPr>
            </w:pPr>
            <w:r w:rsidRPr="004427A8">
              <w:rPr>
                <w:bCs/>
                <w:sz w:val="18"/>
                <w:szCs w:val="18"/>
                <w:lang w:val="en-CA" w:eastAsia="en-CA"/>
              </w:rPr>
              <w:t>2018</w:t>
            </w:r>
          </w:p>
        </w:tc>
      </w:tr>
      <w:tr w:rsidR="00535174" w:rsidRPr="004427A8" w14:paraId="1B64E203" w14:textId="77777777" w:rsidTr="00786D71">
        <w:trPr>
          <w:trHeight w:val="187"/>
        </w:trPr>
        <w:tc>
          <w:tcPr>
            <w:tcW w:w="1245" w:type="dxa"/>
            <w:tcBorders>
              <w:top w:val="nil"/>
              <w:left w:val="nil"/>
              <w:bottom w:val="single" w:sz="4" w:space="0" w:color="auto"/>
              <w:right w:val="nil"/>
            </w:tcBorders>
            <w:shd w:val="clear" w:color="000000" w:fill="FFFFFF"/>
            <w:noWrap/>
            <w:vAlign w:val="bottom"/>
            <w:hideMark/>
          </w:tcPr>
          <w:p w14:paraId="0AB070A2" w14:textId="77777777" w:rsidR="00535174" w:rsidRPr="004427A8" w:rsidRDefault="00535174" w:rsidP="00535174">
            <w:pPr>
              <w:widowControl/>
              <w:rPr>
                <w:sz w:val="18"/>
                <w:szCs w:val="18"/>
                <w:lang w:val="en-CA" w:eastAsia="en-CA"/>
              </w:rPr>
            </w:pPr>
            <w:r w:rsidRPr="004427A8">
              <w:rPr>
                <w:sz w:val="18"/>
                <w:szCs w:val="18"/>
                <w:lang w:val="en-CA" w:eastAsia="en-CA"/>
              </w:rPr>
              <w:t> </w:t>
            </w:r>
          </w:p>
        </w:tc>
        <w:tc>
          <w:tcPr>
            <w:tcW w:w="1095" w:type="dxa"/>
            <w:tcBorders>
              <w:left w:val="nil"/>
              <w:bottom w:val="single" w:sz="4" w:space="0" w:color="auto"/>
              <w:right w:val="nil"/>
            </w:tcBorders>
            <w:shd w:val="clear" w:color="000000" w:fill="FFFFFF"/>
          </w:tcPr>
          <w:p w14:paraId="2DDDB99D" w14:textId="77777777" w:rsidR="00535174" w:rsidRPr="004427A8" w:rsidRDefault="00535174" w:rsidP="00535174">
            <w:pPr>
              <w:widowControl/>
              <w:jc w:val="right"/>
              <w:rPr>
                <w:bCs/>
                <w:sz w:val="18"/>
                <w:szCs w:val="18"/>
                <w:lang w:val="en-CA" w:eastAsia="en-CA"/>
              </w:rPr>
            </w:pPr>
            <w:r>
              <w:rPr>
                <w:bCs/>
                <w:sz w:val="18"/>
                <w:szCs w:val="18"/>
                <w:lang w:val="en-CA" w:eastAsia="en-CA"/>
              </w:rPr>
              <w:t>$</w:t>
            </w:r>
          </w:p>
        </w:tc>
        <w:tc>
          <w:tcPr>
            <w:tcW w:w="1026" w:type="dxa"/>
            <w:tcBorders>
              <w:left w:val="nil"/>
              <w:bottom w:val="single" w:sz="4" w:space="0" w:color="auto"/>
              <w:right w:val="nil"/>
            </w:tcBorders>
            <w:shd w:val="clear" w:color="000000" w:fill="FFFFFF"/>
            <w:noWrap/>
          </w:tcPr>
          <w:p w14:paraId="2E268FCE" w14:textId="18C41B34" w:rsidR="00535174" w:rsidRPr="004427A8" w:rsidRDefault="00535174" w:rsidP="00535174">
            <w:pPr>
              <w:widowControl/>
              <w:jc w:val="right"/>
              <w:rPr>
                <w:bCs/>
                <w:sz w:val="18"/>
                <w:szCs w:val="18"/>
                <w:lang w:val="en-CA" w:eastAsia="en-CA"/>
              </w:rPr>
            </w:pPr>
            <w:r>
              <w:rPr>
                <w:bCs/>
                <w:sz w:val="18"/>
                <w:szCs w:val="18"/>
                <w:lang w:val="en-CA" w:eastAsia="en-CA"/>
              </w:rPr>
              <w:t>$</w:t>
            </w:r>
          </w:p>
        </w:tc>
        <w:tc>
          <w:tcPr>
            <w:tcW w:w="1026" w:type="dxa"/>
            <w:tcBorders>
              <w:left w:val="nil"/>
              <w:bottom w:val="single" w:sz="4" w:space="0" w:color="auto"/>
              <w:right w:val="nil"/>
            </w:tcBorders>
            <w:shd w:val="clear" w:color="000000" w:fill="FFFFFF"/>
            <w:noWrap/>
            <w:hideMark/>
          </w:tcPr>
          <w:p w14:paraId="1867AE86" w14:textId="5B1A8177" w:rsidR="00535174" w:rsidRPr="004427A8" w:rsidRDefault="00535174" w:rsidP="00535174">
            <w:pPr>
              <w:widowControl/>
              <w:jc w:val="right"/>
              <w:rPr>
                <w:bCs/>
                <w:sz w:val="18"/>
                <w:szCs w:val="18"/>
                <w:lang w:val="en-CA" w:eastAsia="en-CA"/>
              </w:rPr>
            </w:pPr>
            <w:r>
              <w:rPr>
                <w:bCs/>
                <w:sz w:val="18"/>
                <w:szCs w:val="18"/>
                <w:lang w:val="en-CA" w:eastAsia="en-CA"/>
              </w:rPr>
              <w:t>$</w:t>
            </w:r>
          </w:p>
        </w:tc>
        <w:tc>
          <w:tcPr>
            <w:tcW w:w="1046" w:type="dxa"/>
            <w:tcBorders>
              <w:left w:val="nil"/>
              <w:bottom w:val="single" w:sz="4" w:space="0" w:color="auto"/>
              <w:right w:val="nil"/>
            </w:tcBorders>
            <w:shd w:val="clear" w:color="000000" w:fill="FFFFFF"/>
            <w:noWrap/>
            <w:vAlign w:val="bottom"/>
            <w:hideMark/>
          </w:tcPr>
          <w:p w14:paraId="5C9F189B" w14:textId="5E409D6C" w:rsidR="00535174" w:rsidRPr="004427A8" w:rsidRDefault="00535174" w:rsidP="00535174">
            <w:pPr>
              <w:widowControl/>
              <w:jc w:val="right"/>
              <w:rPr>
                <w:bCs/>
                <w:sz w:val="18"/>
                <w:szCs w:val="18"/>
                <w:lang w:val="en-CA" w:eastAsia="en-CA"/>
              </w:rPr>
            </w:pPr>
            <w:r w:rsidRPr="004427A8">
              <w:rPr>
                <w:bCs/>
                <w:sz w:val="18"/>
                <w:szCs w:val="18"/>
                <w:lang w:val="en-CA" w:eastAsia="en-CA"/>
              </w:rPr>
              <w:t>$</w:t>
            </w:r>
          </w:p>
        </w:tc>
        <w:tc>
          <w:tcPr>
            <w:tcW w:w="1029" w:type="dxa"/>
            <w:tcBorders>
              <w:left w:val="nil"/>
              <w:bottom w:val="single" w:sz="4" w:space="0" w:color="auto"/>
              <w:right w:val="nil"/>
            </w:tcBorders>
            <w:shd w:val="clear" w:color="000000" w:fill="FFFFFF"/>
            <w:noWrap/>
            <w:vAlign w:val="bottom"/>
            <w:hideMark/>
          </w:tcPr>
          <w:p w14:paraId="5E7FC88D" w14:textId="1C1D4E80" w:rsidR="00535174" w:rsidRPr="004427A8" w:rsidRDefault="00535174" w:rsidP="00535174">
            <w:pPr>
              <w:widowControl/>
              <w:jc w:val="right"/>
              <w:rPr>
                <w:bCs/>
                <w:sz w:val="18"/>
                <w:szCs w:val="18"/>
                <w:lang w:val="en-CA" w:eastAsia="en-CA"/>
              </w:rPr>
            </w:pPr>
            <w:r w:rsidRPr="004427A8">
              <w:rPr>
                <w:bCs/>
                <w:sz w:val="18"/>
                <w:szCs w:val="18"/>
                <w:lang w:val="en-CA" w:eastAsia="en-CA"/>
              </w:rPr>
              <w:t>$</w:t>
            </w:r>
          </w:p>
        </w:tc>
        <w:tc>
          <w:tcPr>
            <w:tcW w:w="1026" w:type="dxa"/>
            <w:tcBorders>
              <w:left w:val="nil"/>
              <w:bottom w:val="single" w:sz="4" w:space="0" w:color="auto"/>
              <w:right w:val="nil"/>
            </w:tcBorders>
            <w:shd w:val="clear" w:color="000000" w:fill="FFFFFF"/>
            <w:noWrap/>
            <w:vAlign w:val="bottom"/>
            <w:hideMark/>
          </w:tcPr>
          <w:p w14:paraId="673DA5AF" w14:textId="186F0760" w:rsidR="00535174" w:rsidRPr="004427A8" w:rsidRDefault="00535174" w:rsidP="00535174">
            <w:pPr>
              <w:widowControl/>
              <w:jc w:val="right"/>
              <w:rPr>
                <w:bCs/>
                <w:sz w:val="18"/>
                <w:szCs w:val="18"/>
                <w:lang w:val="en-CA" w:eastAsia="en-CA"/>
              </w:rPr>
            </w:pPr>
            <w:r w:rsidRPr="004427A8">
              <w:rPr>
                <w:bCs/>
                <w:sz w:val="18"/>
                <w:szCs w:val="18"/>
                <w:lang w:val="en-CA" w:eastAsia="en-CA"/>
              </w:rPr>
              <w:t>$</w:t>
            </w:r>
          </w:p>
        </w:tc>
        <w:tc>
          <w:tcPr>
            <w:tcW w:w="1044" w:type="dxa"/>
            <w:tcBorders>
              <w:left w:val="nil"/>
              <w:bottom w:val="single" w:sz="4" w:space="0" w:color="auto"/>
              <w:right w:val="nil"/>
            </w:tcBorders>
            <w:shd w:val="clear" w:color="000000" w:fill="FFFFFF"/>
            <w:noWrap/>
            <w:vAlign w:val="bottom"/>
            <w:hideMark/>
          </w:tcPr>
          <w:p w14:paraId="430A09F5" w14:textId="5AC33D66"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 </w:t>
            </w:r>
          </w:p>
        </w:tc>
        <w:tc>
          <w:tcPr>
            <w:tcW w:w="1056" w:type="dxa"/>
            <w:tcBorders>
              <w:left w:val="nil"/>
              <w:bottom w:val="single" w:sz="4" w:space="0" w:color="auto"/>
              <w:right w:val="nil"/>
            </w:tcBorders>
            <w:shd w:val="clear" w:color="000000" w:fill="FFFFFF"/>
            <w:noWrap/>
            <w:vAlign w:val="bottom"/>
            <w:hideMark/>
          </w:tcPr>
          <w:p w14:paraId="732CDE9B" w14:textId="0E064800"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 </w:t>
            </w:r>
          </w:p>
        </w:tc>
      </w:tr>
      <w:tr w:rsidR="00535174" w:rsidRPr="004427A8" w14:paraId="09EB6607" w14:textId="77777777" w:rsidTr="00786D71">
        <w:trPr>
          <w:trHeight w:val="187"/>
        </w:trPr>
        <w:tc>
          <w:tcPr>
            <w:tcW w:w="1245" w:type="dxa"/>
            <w:tcBorders>
              <w:top w:val="single" w:sz="4" w:space="0" w:color="auto"/>
              <w:left w:val="nil"/>
              <w:bottom w:val="nil"/>
              <w:right w:val="nil"/>
            </w:tcBorders>
            <w:shd w:val="clear" w:color="000000" w:fill="FFFFFF"/>
            <w:noWrap/>
            <w:vAlign w:val="bottom"/>
            <w:hideMark/>
          </w:tcPr>
          <w:p w14:paraId="083F50C1" w14:textId="77777777" w:rsidR="00535174" w:rsidRPr="004427A8" w:rsidRDefault="00535174" w:rsidP="00535174">
            <w:pPr>
              <w:widowControl/>
              <w:rPr>
                <w:sz w:val="18"/>
                <w:szCs w:val="18"/>
                <w:lang w:val="en-CA" w:eastAsia="en-CA"/>
              </w:rPr>
            </w:pPr>
          </w:p>
        </w:tc>
        <w:tc>
          <w:tcPr>
            <w:tcW w:w="1095" w:type="dxa"/>
            <w:tcBorders>
              <w:top w:val="single" w:sz="4" w:space="0" w:color="auto"/>
              <w:left w:val="nil"/>
              <w:right w:val="nil"/>
            </w:tcBorders>
            <w:shd w:val="clear" w:color="auto" w:fill="auto"/>
          </w:tcPr>
          <w:p w14:paraId="0009B06B"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tcPr>
          <w:p w14:paraId="0EC1A41C"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hideMark/>
          </w:tcPr>
          <w:p w14:paraId="35C1723B" w14:textId="77777777" w:rsidR="00535174" w:rsidRPr="004427A8" w:rsidRDefault="00535174" w:rsidP="00535174">
            <w:pPr>
              <w:widowControl/>
              <w:jc w:val="right"/>
              <w:rPr>
                <w:bCs/>
                <w:sz w:val="18"/>
                <w:szCs w:val="18"/>
                <w:lang w:val="en-CA" w:eastAsia="en-CA"/>
              </w:rPr>
            </w:pPr>
          </w:p>
        </w:tc>
        <w:tc>
          <w:tcPr>
            <w:tcW w:w="1046" w:type="dxa"/>
            <w:tcBorders>
              <w:top w:val="single" w:sz="4" w:space="0" w:color="auto"/>
              <w:left w:val="nil"/>
              <w:right w:val="nil"/>
            </w:tcBorders>
            <w:shd w:val="clear" w:color="000000" w:fill="FFFFFF"/>
            <w:noWrap/>
            <w:vAlign w:val="bottom"/>
            <w:hideMark/>
          </w:tcPr>
          <w:p w14:paraId="5948216F" w14:textId="77777777" w:rsidR="00535174" w:rsidRPr="004427A8" w:rsidRDefault="00535174" w:rsidP="00535174">
            <w:pPr>
              <w:widowControl/>
              <w:jc w:val="right"/>
              <w:rPr>
                <w:bCs/>
                <w:sz w:val="18"/>
                <w:szCs w:val="18"/>
                <w:lang w:val="en-CA" w:eastAsia="en-CA"/>
              </w:rPr>
            </w:pPr>
          </w:p>
        </w:tc>
        <w:tc>
          <w:tcPr>
            <w:tcW w:w="1029" w:type="dxa"/>
            <w:tcBorders>
              <w:top w:val="single" w:sz="4" w:space="0" w:color="auto"/>
              <w:left w:val="nil"/>
              <w:right w:val="nil"/>
            </w:tcBorders>
            <w:shd w:val="clear" w:color="000000" w:fill="FFFFFF"/>
            <w:noWrap/>
            <w:vAlign w:val="bottom"/>
            <w:hideMark/>
          </w:tcPr>
          <w:p w14:paraId="3F378B72"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vAlign w:val="bottom"/>
            <w:hideMark/>
          </w:tcPr>
          <w:p w14:paraId="50ED7260" w14:textId="2204EECF" w:rsidR="00535174" w:rsidRPr="004427A8" w:rsidRDefault="00535174" w:rsidP="00535174">
            <w:pPr>
              <w:widowControl/>
              <w:jc w:val="right"/>
              <w:rPr>
                <w:bCs/>
                <w:sz w:val="18"/>
                <w:szCs w:val="18"/>
                <w:lang w:val="en-CA" w:eastAsia="en-CA"/>
              </w:rPr>
            </w:pPr>
          </w:p>
        </w:tc>
        <w:tc>
          <w:tcPr>
            <w:tcW w:w="1044" w:type="dxa"/>
            <w:tcBorders>
              <w:top w:val="single" w:sz="4" w:space="0" w:color="auto"/>
              <w:left w:val="nil"/>
              <w:right w:val="nil"/>
            </w:tcBorders>
            <w:shd w:val="clear" w:color="000000" w:fill="FFFFFF"/>
            <w:noWrap/>
            <w:vAlign w:val="bottom"/>
            <w:hideMark/>
          </w:tcPr>
          <w:p w14:paraId="40499E2C" w14:textId="66AAA974" w:rsidR="00535174" w:rsidRPr="004427A8" w:rsidRDefault="00535174" w:rsidP="00535174">
            <w:pPr>
              <w:widowControl/>
              <w:jc w:val="right"/>
              <w:rPr>
                <w:bCs/>
                <w:sz w:val="18"/>
                <w:szCs w:val="18"/>
                <w:lang w:val="en-CA" w:eastAsia="en-CA"/>
              </w:rPr>
            </w:pPr>
            <w:r w:rsidRPr="004427A8">
              <w:rPr>
                <w:bCs/>
                <w:sz w:val="18"/>
                <w:szCs w:val="18"/>
                <w:lang w:val="en-CA" w:eastAsia="en-CA"/>
              </w:rPr>
              <w:t> </w:t>
            </w:r>
          </w:p>
        </w:tc>
        <w:tc>
          <w:tcPr>
            <w:tcW w:w="1056" w:type="dxa"/>
            <w:tcBorders>
              <w:top w:val="single" w:sz="4" w:space="0" w:color="auto"/>
              <w:left w:val="nil"/>
              <w:right w:val="nil"/>
            </w:tcBorders>
            <w:shd w:val="clear" w:color="000000" w:fill="FFFFFF"/>
            <w:noWrap/>
            <w:vAlign w:val="bottom"/>
            <w:hideMark/>
          </w:tcPr>
          <w:p w14:paraId="6345DAE5" w14:textId="24F2A081" w:rsidR="00535174" w:rsidRPr="004427A8" w:rsidRDefault="00535174" w:rsidP="00535174">
            <w:pPr>
              <w:widowControl/>
              <w:jc w:val="right"/>
              <w:rPr>
                <w:bCs/>
                <w:sz w:val="18"/>
                <w:szCs w:val="18"/>
                <w:lang w:val="en-CA" w:eastAsia="en-CA"/>
              </w:rPr>
            </w:pPr>
            <w:r w:rsidRPr="004427A8">
              <w:rPr>
                <w:bCs/>
                <w:sz w:val="18"/>
                <w:szCs w:val="18"/>
                <w:lang w:val="en-CA" w:eastAsia="en-CA"/>
              </w:rPr>
              <w:t> </w:t>
            </w:r>
          </w:p>
        </w:tc>
      </w:tr>
      <w:tr w:rsidR="00535174" w:rsidRPr="004427A8" w14:paraId="25CFE182" w14:textId="77777777" w:rsidTr="00FA06A6">
        <w:trPr>
          <w:trHeight w:val="187"/>
        </w:trPr>
        <w:tc>
          <w:tcPr>
            <w:tcW w:w="1245" w:type="dxa"/>
            <w:tcBorders>
              <w:top w:val="nil"/>
              <w:left w:val="nil"/>
              <w:right w:val="nil"/>
            </w:tcBorders>
            <w:shd w:val="clear" w:color="000000" w:fill="FFFFFF"/>
            <w:noWrap/>
            <w:vAlign w:val="bottom"/>
            <w:hideMark/>
          </w:tcPr>
          <w:p w14:paraId="26B5BE10" w14:textId="77777777" w:rsidR="00535174" w:rsidRPr="004427A8" w:rsidRDefault="00535174" w:rsidP="00535174">
            <w:pPr>
              <w:widowControl/>
              <w:rPr>
                <w:sz w:val="18"/>
                <w:szCs w:val="18"/>
                <w:lang w:val="en-CA" w:eastAsia="en-CA"/>
              </w:rPr>
            </w:pPr>
            <w:r w:rsidRPr="004427A8">
              <w:rPr>
                <w:sz w:val="18"/>
                <w:szCs w:val="18"/>
                <w:lang w:val="en-CA" w:eastAsia="en-CA"/>
              </w:rPr>
              <w:t>Net income (loss)</w:t>
            </w:r>
          </w:p>
        </w:tc>
        <w:tc>
          <w:tcPr>
            <w:tcW w:w="1095" w:type="dxa"/>
            <w:tcBorders>
              <w:top w:val="nil"/>
              <w:left w:val="nil"/>
              <w:right w:val="nil"/>
            </w:tcBorders>
            <w:shd w:val="clear" w:color="auto" w:fill="auto"/>
            <w:vAlign w:val="bottom"/>
          </w:tcPr>
          <w:p w14:paraId="25492309" w14:textId="67A643C9" w:rsidR="00535174" w:rsidRDefault="00535174" w:rsidP="00535174">
            <w:pPr>
              <w:widowControl/>
              <w:jc w:val="right"/>
              <w:rPr>
                <w:bCs/>
                <w:sz w:val="18"/>
                <w:szCs w:val="18"/>
                <w:lang w:val="en-CA" w:eastAsia="en-CA"/>
              </w:rPr>
            </w:pPr>
            <w:r>
              <w:rPr>
                <w:bCs/>
                <w:sz w:val="18"/>
                <w:szCs w:val="18"/>
                <w:lang w:val="en-CA" w:eastAsia="en-CA"/>
              </w:rPr>
              <w:t>(</w:t>
            </w:r>
            <w:r w:rsidR="00666A08">
              <w:rPr>
                <w:bCs/>
                <w:sz w:val="18"/>
                <w:szCs w:val="18"/>
                <w:lang w:val="en-CA" w:eastAsia="en-CA"/>
              </w:rPr>
              <w:t>79,490</w:t>
            </w:r>
            <w:r>
              <w:rPr>
                <w:bCs/>
                <w:sz w:val="18"/>
                <w:szCs w:val="18"/>
                <w:lang w:val="en-CA" w:eastAsia="en-CA"/>
              </w:rPr>
              <w:t>)</w:t>
            </w:r>
          </w:p>
        </w:tc>
        <w:tc>
          <w:tcPr>
            <w:tcW w:w="1026" w:type="dxa"/>
            <w:tcBorders>
              <w:top w:val="nil"/>
              <w:left w:val="nil"/>
              <w:right w:val="nil"/>
            </w:tcBorders>
            <w:shd w:val="clear" w:color="000000" w:fill="FFFFFF"/>
            <w:noWrap/>
            <w:vAlign w:val="bottom"/>
          </w:tcPr>
          <w:p w14:paraId="01D1E518" w14:textId="39EB3F03" w:rsidR="00535174" w:rsidRPr="004427A8" w:rsidRDefault="00535174" w:rsidP="00535174">
            <w:pPr>
              <w:widowControl/>
              <w:jc w:val="right"/>
              <w:rPr>
                <w:bCs/>
                <w:sz w:val="18"/>
                <w:szCs w:val="18"/>
                <w:lang w:val="en-CA" w:eastAsia="en-CA"/>
              </w:rPr>
            </w:pPr>
            <w:r>
              <w:rPr>
                <w:bCs/>
                <w:sz w:val="18"/>
                <w:szCs w:val="18"/>
                <w:lang w:val="en-CA" w:eastAsia="en-CA"/>
              </w:rPr>
              <w:t>(479,920)</w:t>
            </w:r>
          </w:p>
        </w:tc>
        <w:tc>
          <w:tcPr>
            <w:tcW w:w="1026" w:type="dxa"/>
            <w:tcBorders>
              <w:top w:val="nil"/>
              <w:left w:val="nil"/>
              <w:right w:val="nil"/>
            </w:tcBorders>
            <w:shd w:val="clear" w:color="000000" w:fill="FFFFFF"/>
            <w:noWrap/>
            <w:vAlign w:val="bottom"/>
            <w:hideMark/>
          </w:tcPr>
          <w:p w14:paraId="6C4E6E82" w14:textId="0D5153FE" w:rsidR="00535174" w:rsidRPr="004427A8" w:rsidRDefault="00535174" w:rsidP="00535174">
            <w:pPr>
              <w:widowControl/>
              <w:jc w:val="right"/>
              <w:rPr>
                <w:bCs/>
                <w:sz w:val="18"/>
                <w:szCs w:val="18"/>
                <w:lang w:val="en-CA" w:eastAsia="en-CA"/>
              </w:rPr>
            </w:pPr>
            <w:r>
              <w:rPr>
                <w:bCs/>
                <w:sz w:val="18"/>
                <w:szCs w:val="18"/>
                <w:lang w:val="en-CA" w:eastAsia="en-CA"/>
              </w:rPr>
              <w:t>(648,397)</w:t>
            </w:r>
          </w:p>
        </w:tc>
        <w:tc>
          <w:tcPr>
            <w:tcW w:w="1046" w:type="dxa"/>
            <w:tcBorders>
              <w:top w:val="nil"/>
              <w:left w:val="nil"/>
              <w:right w:val="nil"/>
            </w:tcBorders>
            <w:shd w:val="clear" w:color="000000" w:fill="FFFFFF"/>
            <w:noWrap/>
            <w:vAlign w:val="bottom"/>
            <w:hideMark/>
          </w:tcPr>
          <w:p w14:paraId="17F25230" w14:textId="7525D175" w:rsidR="00535174" w:rsidRPr="004427A8" w:rsidRDefault="00535174" w:rsidP="00535174">
            <w:pPr>
              <w:widowControl/>
              <w:jc w:val="right"/>
              <w:rPr>
                <w:bCs/>
                <w:sz w:val="18"/>
                <w:szCs w:val="18"/>
                <w:lang w:val="en-CA" w:eastAsia="en-CA"/>
              </w:rPr>
            </w:pPr>
            <w:r>
              <w:rPr>
                <w:bCs/>
                <w:sz w:val="18"/>
                <w:szCs w:val="18"/>
                <w:lang w:val="en-CA" w:eastAsia="en-CA"/>
              </w:rPr>
              <w:t>(411,485)</w:t>
            </w:r>
          </w:p>
        </w:tc>
        <w:tc>
          <w:tcPr>
            <w:tcW w:w="1029" w:type="dxa"/>
            <w:tcBorders>
              <w:top w:val="nil"/>
              <w:left w:val="nil"/>
              <w:right w:val="nil"/>
            </w:tcBorders>
            <w:shd w:val="clear" w:color="000000" w:fill="FFFFFF"/>
            <w:noWrap/>
            <w:vAlign w:val="bottom"/>
            <w:hideMark/>
          </w:tcPr>
          <w:p w14:paraId="4647C7A4" w14:textId="513FA027" w:rsidR="00535174" w:rsidRPr="004427A8" w:rsidRDefault="00535174" w:rsidP="00535174">
            <w:pPr>
              <w:widowControl/>
              <w:jc w:val="right"/>
              <w:rPr>
                <w:bCs/>
                <w:sz w:val="18"/>
                <w:szCs w:val="18"/>
                <w:lang w:val="en-CA" w:eastAsia="en-CA"/>
              </w:rPr>
            </w:pPr>
            <w:r w:rsidRPr="004427A8">
              <w:rPr>
                <w:bCs/>
                <w:sz w:val="18"/>
                <w:szCs w:val="18"/>
                <w:lang w:val="en-CA" w:eastAsia="en-CA"/>
              </w:rPr>
              <w:t>234,543</w:t>
            </w:r>
          </w:p>
        </w:tc>
        <w:tc>
          <w:tcPr>
            <w:tcW w:w="1026" w:type="dxa"/>
            <w:tcBorders>
              <w:top w:val="nil"/>
              <w:left w:val="nil"/>
              <w:right w:val="nil"/>
            </w:tcBorders>
            <w:shd w:val="clear" w:color="000000" w:fill="FFFFFF"/>
            <w:noWrap/>
            <w:vAlign w:val="bottom"/>
            <w:hideMark/>
          </w:tcPr>
          <w:p w14:paraId="4AC2AE00" w14:textId="5EF8DEA0" w:rsidR="00535174" w:rsidRPr="004427A8" w:rsidRDefault="00535174" w:rsidP="00535174">
            <w:pPr>
              <w:widowControl/>
              <w:jc w:val="right"/>
              <w:rPr>
                <w:bCs/>
                <w:sz w:val="18"/>
                <w:szCs w:val="18"/>
                <w:lang w:val="en-CA" w:eastAsia="en-CA"/>
              </w:rPr>
            </w:pPr>
            <w:r w:rsidRPr="004427A8">
              <w:rPr>
                <w:bCs/>
                <w:sz w:val="18"/>
                <w:szCs w:val="18"/>
                <w:lang w:val="en-CA" w:eastAsia="en-CA"/>
              </w:rPr>
              <w:t>24,950</w:t>
            </w:r>
          </w:p>
        </w:tc>
        <w:tc>
          <w:tcPr>
            <w:tcW w:w="1044" w:type="dxa"/>
            <w:tcBorders>
              <w:top w:val="nil"/>
              <w:left w:val="nil"/>
              <w:right w:val="nil"/>
            </w:tcBorders>
            <w:shd w:val="clear" w:color="000000" w:fill="FFFFFF"/>
            <w:noWrap/>
            <w:vAlign w:val="bottom"/>
            <w:hideMark/>
          </w:tcPr>
          <w:p w14:paraId="299A2485" w14:textId="5FDD1722"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(54,021)     </w:t>
            </w:r>
          </w:p>
        </w:tc>
        <w:tc>
          <w:tcPr>
            <w:tcW w:w="1056" w:type="dxa"/>
            <w:tcBorders>
              <w:top w:val="nil"/>
              <w:left w:val="nil"/>
              <w:right w:val="nil"/>
            </w:tcBorders>
            <w:shd w:val="clear" w:color="000000" w:fill="FFFFFF"/>
            <w:noWrap/>
            <w:vAlign w:val="bottom"/>
            <w:hideMark/>
          </w:tcPr>
          <w:p w14:paraId="1977D916" w14:textId="41FD43A3"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(172,282)     </w:t>
            </w:r>
          </w:p>
        </w:tc>
      </w:tr>
      <w:tr w:rsidR="00535174" w:rsidRPr="004427A8" w14:paraId="0221D9C7" w14:textId="77777777" w:rsidTr="00786D71">
        <w:trPr>
          <w:trHeight w:val="270"/>
        </w:trPr>
        <w:tc>
          <w:tcPr>
            <w:tcW w:w="1245" w:type="dxa"/>
            <w:tcBorders>
              <w:top w:val="nil"/>
              <w:left w:val="nil"/>
              <w:bottom w:val="single" w:sz="4" w:space="0" w:color="auto"/>
              <w:right w:val="nil"/>
            </w:tcBorders>
            <w:shd w:val="clear" w:color="000000" w:fill="FFFFFF"/>
            <w:noWrap/>
            <w:vAlign w:val="bottom"/>
            <w:hideMark/>
          </w:tcPr>
          <w:p w14:paraId="330AFAC4" w14:textId="77777777" w:rsidR="00535174" w:rsidRPr="004427A8" w:rsidRDefault="00535174" w:rsidP="00535174">
            <w:pPr>
              <w:widowControl/>
              <w:rPr>
                <w:sz w:val="18"/>
                <w:szCs w:val="18"/>
                <w:lang w:val="en-CA" w:eastAsia="en-CA"/>
              </w:rPr>
            </w:pPr>
            <w:r w:rsidRPr="004427A8">
              <w:rPr>
                <w:sz w:val="18"/>
                <w:szCs w:val="18"/>
                <w:lang w:val="en-CA" w:eastAsia="en-CA"/>
              </w:rPr>
              <w:t xml:space="preserve">loss per share </w:t>
            </w:r>
          </w:p>
        </w:tc>
        <w:tc>
          <w:tcPr>
            <w:tcW w:w="1095" w:type="dxa"/>
            <w:tcBorders>
              <w:left w:val="nil"/>
              <w:bottom w:val="single" w:sz="4" w:space="0" w:color="auto"/>
              <w:right w:val="nil"/>
            </w:tcBorders>
            <w:shd w:val="clear" w:color="auto" w:fill="auto"/>
          </w:tcPr>
          <w:p w14:paraId="4742F011" w14:textId="77777777" w:rsidR="00535174" w:rsidRPr="004427A8" w:rsidRDefault="00535174" w:rsidP="00535174">
            <w:pPr>
              <w:widowControl/>
              <w:jc w:val="right"/>
              <w:rPr>
                <w:bCs/>
                <w:sz w:val="18"/>
                <w:szCs w:val="18"/>
                <w:lang w:val="en-CA" w:eastAsia="en-CA"/>
              </w:rPr>
            </w:pPr>
            <w:r>
              <w:rPr>
                <w:bCs/>
                <w:sz w:val="18"/>
                <w:szCs w:val="18"/>
                <w:lang w:val="en-CA" w:eastAsia="en-CA"/>
              </w:rPr>
              <w:t>(0.00)</w:t>
            </w:r>
          </w:p>
        </w:tc>
        <w:tc>
          <w:tcPr>
            <w:tcW w:w="1026" w:type="dxa"/>
            <w:tcBorders>
              <w:left w:val="nil"/>
              <w:bottom w:val="single" w:sz="4" w:space="0" w:color="auto"/>
              <w:right w:val="nil"/>
            </w:tcBorders>
            <w:shd w:val="clear" w:color="000000" w:fill="FFFFFF"/>
            <w:noWrap/>
          </w:tcPr>
          <w:p w14:paraId="6E00A539" w14:textId="473233BB" w:rsidR="00535174" w:rsidRPr="004427A8" w:rsidRDefault="00535174" w:rsidP="00535174">
            <w:pPr>
              <w:widowControl/>
              <w:jc w:val="right"/>
              <w:rPr>
                <w:bCs/>
                <w:sz w:val="18"/>
                <w:szCs w:val="18"/>
                <w:lang w:val="en-CA" w:eastAsia="en-CA"/>
              </w:rPr>
            </w:pPr>
            <w:r>
              <w:rPr>
                <w:bCs/>
                <w:sz w:val="18"/>
                <w:szCs w:val="18"/>
                <w:lang w:val="en-CA" w:eastAsia="en-CA"/>
              </w:rPr>
              <w:t>(0.00)</w:t>
            </w:r>
          </w:p>
        </w:tc>
        <w:tc>
          <w:tcPr>
            <w:tcW w:w="1026" w:type="dxa"/>
            <w:tcBorders>
              <w:left w:val="nil"/>
              <w:bottom w:val="single" w:sz="4" w:space="0" w:color="auto"/>
              <w:right w:val="nil"/>
            </w:tcBorders>
            <w:shd w:val="clear" w:color="000000" w:fill="FFFFFF"/>
            <w:noWrap/>
            <w:hideMark/>
          </w:tcPr>
          <w:p w14:paraId="29CF6EE0" w14:textId="0FD20D37" w:rsidR="00535174" w:rsidRPr="004427A8" w:rsidRDefault="00535174" w:rsidP="00535174">
            <w:pPr>
              <w:widowControl/>
              <w:jc w:val="right"/>
              <w:rPr>
                <w:bCs/>
                <w:sz w:val="18"/>
                <w:szCs w:val="18"/>
                <w:lang w:val="en-CA" w:eastAsia="en-CA"/>
              </w:rPr>
            </w:pPr>
            <w:r>
              <w:rPr>
                <w:bCs/>
                <w:sz w:val="18"/>
                <w:szCs w:val="18"/>
                <w:lang w:val="en-CA" w:eastAsia="en-CA"/>
              </w:rPr>
              <w:t>(0.01)</w:t>
            </w:r>
          </w:p>
        </w:tc>
        <w:tc>
          <w:tcPr>
            <w:tcW w:w="1046" w:type="dxa"/>
            <w:tcBorders>
              <w:left w:val="nil"/>
              <w:bottom w:val="single" w:sz="4" w:space="0" w:color="auto"/>
              <w:right w:val="nil"/>
            </w:tcBorders>
            <w:shd w:val="clear" w:color="000000" w:fill="FFFFFF"/>
            <w:noWrap/>
            <w:vAlign w:val="bottom"/>
            <w:hideMark/>
          </w:tcPr>
          <w:p w14:paraId="15DD41E6" w14:textId="3E8F6CFD" w:rsidR="00535174" w:rsidRPr="004427A8" w:rsidRDefault="00535174" w:rsidP="00535174">
            <w:pPr>
              <w:widowControl/>
              <w:jc w:val="right"/>
              <w:rPr>
                <w:bCs/>
                <w:sz w:val="18"/>
                <w:szCs w:val="18"/>
                <w:lang w:val="en-CA" w:eastAsia="en-CA"/>
              </w:rPr>
            </w:pPr>
            <w:r w:rsidRPr="004427A8">
              <w:rPr>
                <w:bCs/>
                <w:sz w:val="18"/>
                <w:szCs w:val="18"/>
                <w:lang w:val="en-CA" w:eastAsia="en-CA"/>
              </w:rPr>
              <w:t>0.00</w:t>
            </w:r>
          </w:p>
        </w:tc>
        <w:tc>
          <w:tcPr>
            <w:tcW w:w="1029" w:type="dxa"/>
            <w:tcBorders>
              <w:left w:val="nil"/>
              <w:bottom w:val="single" w:sz="4" w:space="0" w:color="auto"/>
              <w:right w:val="nil"/>
            </w:tcBorders>
            <w:shd w:val="clear" w:color="000000" w:fill="FFFFFF"/>
            <w:noWrap/>
            <w:vAlign w:val="bottom"/>
            <w:hideMark/>
          </w:tcPr>
          <w:p w14:paraId="6435C2B5" w14:textId="1A9F3D87" w:rsidR="00535174" w:rsidRPr="004427A8" w:rsidRDefault="00535174" w:rsidP="00535174">
            <w:pPr>
              <w:widowControl/>
              <w:jc w:val="right"/>
              <w:rPr>
                <w:bCs/>
                <w:sz w:val="18"/>
                <w:szCs w:val="18"/>
                <w:lang w:val="en-CA" w:eastAsia="en-CA"/>
              </w:rPr>
            </w:pPr>
            <w:r w:rsidRPr="004427A8">
              <w:rPr>
                <w:bCs/>
                <w:sz w:val="18"/>
                <w:szCs w:val="18"/>
                <w:lang w:val="en-CA" w:eastAsia="en-CA"/>
              </w:rPr>
              <w:t>0.00</w:t>
            </w:r>
          </w:p>
        </w:tc>
        <w:tc>
          <w:tcPr>
            <w:tcW w:w="1026" w:type="dxa"/>
            <w:tcBorders>
              <w:left w:val="nil"/>
              <w:bottom w:val="single" w:sz="4" w:space="0" w:color="auto"/>
              <w:right w:val="nil"/>
            </w:tcBorders>
            <w:shd w:val="clear" w:color="000000" w:fill="FFFFFF"/>
            <w:noWrap/>
            <w:vAlign w:val="bottom"/>
            <w:hideMark/>
          </w:tcPr>
          <w:p w14:paraId="7D7B95C2" w14:textId="56BCB57C" w:rsidR="00535174" w:rsidRPr="004427A8" w:rsidRDefault="00535174" w:rsidP="00535174">
            <w:pPr>
              <w:widowControl/>
              <w:jc w:val="right"/>
              <w:rPr>
                <w:bCs/>
                <w:sz w:val="18"/>
                <w:szCs w:val="18"/>
                <w:lang w:val="en-CA" w:eastAsia="en-CA"/>
              </w:rPr>
            </w:pPr>
            <w:r w:rsidRPr="004427A8">
              <w:rPr>
                <w:bCs/>
                <w:sz w:val="18"/>
                <w:szCs w:val="18"/>
                <w:lang w:val="en-CA" w:eastAsia="en-CA"/>
              </w:rPr>
              <w:t>(0.01)</w:t>
            </w:r>
          </w:p>
        </w:tc>
        <w:tc>
          <w:tcPr>
            <w:tcW w:w="1044" w:type="dxa"/>
            <w:tcBorders>
              <w:left w:val="nil"/>
              <w:bottom w:val="single" w:sz="4" w:space="0" w:color="auto"/>
              <w:right w:val="nil"/>
            </w:tcBorders>
            <w:shd w:val="clear" w:color="000000" w:fill="FFFFFF"/>
            <w:noWrap/>
            <w:vAlign w:val="bottom"/>
            <w:hideMark/>
          </w:tcPr>
          <w:p w14:paraId="092D24EC" w14:textId="15C77401"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        (0.00)</w:t>
            </w:r>
          </w:p>
        </w:tc>
        <w:tc>
          <w:tcPr>
            <w:tcW w:w="1056" w:type="dxa"/>
            <w:tcBorders>
              <w:left w:val="nil"/>
              <w:bottom w:val="single" w:sz="4" w:space="0" w:color="auto"/>
              <w:right w:val="nil"/>
            </w:tcBorders>
            <w:shd w:val="clear" w:color="000000" w:fill="FFFFFF"/>
            <w:noWrap/>
            <w:vAlign w:val="bottom"/>
            <w:hideMark/>
          </w:tcPr>
          <w:p w14:paraId="23EE2583" w14:textId="3D5D3200" w:rsidR="00535174" w:rsidRPr="004427A8" w:rsidRDefault="00535174" w:rsidP="00535174">
            <w:pPr>
              <w:widowControl/>
              <w:jc w:val="right"/>
              <w:rPr>
                <w:bCs/>
                <w:sz w:val="18"/>
                <w:szCs w:val="18"/>
                <w:lang w:val="en-CA" w:eastAsia="en-CA"/>
              </w:rPr>
            </w:pPr>
            <w:r w:rsidRPr="004427A8">
              <w:rPr>
                <w:bCs/>
                <w:sz w:val="18"/>
                <w:szCs w:val="18"/>
                <w:lang w:val="en-CA" w:eastAsia="en-CA"/>
              </w:rPr>
              <w:t xml:space="preserve">        (0.00)</w:t>
            </w:r>
          </w:p>
        </w:tc>
      </w:tr>
      <w:tr w:rsidR="00535174" w:rsidRPr="004427A8" w14:paraId="56247AD1" w14:textId="77777777" w:rsidTr="00786D71">
        <w:trPr>
          <w:trHeight w:val="56"/>
        </w:trPr>
        <w:tc>
          <w:tcPr>
            <w:tcW w:w="1245" w:type="dxa"/>
            <w:tcBorders>
              <w:top w:val="single" w:sz="4" w:space="0" w:color="auto"/>
              <w:left w:val="nil"/>
              <w:bottom w:val="nil"/>
              <w:right w:val="nil"/>
            </w:tcBorders>
            <w:shd w:val="clear" w:color="000000" w:fill="FFFFFF"/>
            <w:noWrap/>
            <w:vAlign w:val="bottom"/>
            <w:hideMark/>
          </w:tcPr>
          <w:p w14:paraId="67AC49D5" w14:textId="77777777" w:rsidR="00535174" w:rsidRPr="004427A8" w:rsidRDefault="00535174" w:rsidP="00535174">
            <w:pPr>
              <w:widowControl/>
              <w:rPr>
                <w:sz w:val="18"/>
                <w:szCs w:val="18"/>
                <w:lang w:val="en-CA" w:eastAsia="en-CA"/>
              </w:rPr>
            </w:pPr>
            <w:r w:rsidRPr="004427A8">
              <w:rPr>
                <w:sz w:val="18"/>
                <w:szCs w:val="18"/>
                <w:lang w:val="en-CA" w:eastAsia="en-CA"/>
              </w:rPr>
              <w:t xml:space="preserve">Balance Sheet </w:t>
            </w:r>
          </w:p>
        </w:tc>
        <w:tc>
          <w:tcPr>
            <w:tcW w:w="1095" w:type="dxa"/>
            <w:tcBorders>
              <w:top w:val="single" w:sz="4" w:space="0" w:color="auto"/>
              <w:left w:val="nil"/>
              <w:right w:val="nil"/>
            </w:tcBorders>
            <w:shd w:val="clear" w:color="auto" w:fill="auto"/>
          </w:tcPr>
          <w:p w14:paraId="57996678"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tcPr>
          <w:p w14:paraId="32FCDE44"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hideMark/>
          </w:tcPr>
          <w:p w14:paraId="29E793EC" w14:textId="77777777" w:rsidR="00535174" w:rsidRPr="004427A8" w:rsidRDefault="00535174" w:rsidP="00535174">
            <w:pPr>
              <w:widowControl/>
              <w:jc w:val="right"/>
              <w:rPr>
                <w:bCs/>
                <w:sz w:val="18"/>
                <w:szCs w:val="18"/>
                <w:lang w:val="en-CA" w:eastAsia="en-CA"/>
              </w:rPr>
            </w:pPr>
          </w:p>
        </w:tc>
        <w:tc>
          <w:tcPr>
            <w:tcW w:w="1046" w:type="dxa"/>
            <w:tcBorders>
              <w:top w:val="single" w:sz="4" w:space="0" w:color="auto"/>
              <w:left w:val="nil"/>
              <w:right w:val="nil"/>
            </w:tcBorders>
            <w:shd w:val="clear" w:color="000000" w:fill="FFFFFF"/>
            <w:noWrap/>
            <w:vAlign w:val="bottom"/>
            <w:hideMark/>
          </w:tcPr>
          <w:p w14:paraId="34228792" w14:textId="77777777" w:rsidR="00535174" w:rsidRPr="004427A8" w:rsidRDefault="00535174" w:rsidP="00535174">
            <w:pPr>
              <w:widowControl/>
              <w:jc w:val="right"/>
              <w:rPr>
                <w:bCs/>
                <w:sz w:val="18"/>
                <w:szCs w:val="18"/>
                <w:lang w:val="en-CA" w:eastAsia="en-CA"/>
              </w:rPr>
            </w:pPr>
          </w:p>
        </w:tc>
        <w:tc>
          <w:tcPr>
            <w:tcW w:w="1029" w:type="dxa"/>
            <w:tcBorders>
              <w:top w:val="single" w:sz="4" w:space="0" w:color="auto"/>
              <w:left w:val="nil"/>
              <w:right w:val="nil"/>
            </w:tcBorders>
            <w:shd w:val="clear" w:color="000000" w:fill="FFFFFF"/>
            <w:noWrap/>
            <w:vAlign w:val="bottom"/>
            <w:hideMark/>
          </w:tcPr>
          <w:p w14:paraId="2BB7C6C7" w14:textId="77777777" w:rsidR="00535174" w:rsidRPr="004427A8" w:rsidRDefault="00535174" w:rsidP="00535174">
            <w:pPr>
              <w:widowControl/>
              <w:jc w:val="right"/>
              <w:rPr>
                <w:bCs/>
                <w:sz w:val="18"/>
                <w:szCs w:val="18"/>
                <w:lang w:val="en-CA" w:eastAsia="en-CA"/>
              </w:rPr>
            </w:pPr>
          </w:p>
        </w:tc>
        <w:tc>
          <w:tcPr>
            <w:tcW w:w="1026" w:type="dxa"/>
            <w:tcBorders>
              <w:top w:val="single" w:sz="4" w:space="0" w:color="auto"/>
              <w:left w:val="nil"/>
              <w:right w:val="nil"/>
            </w:tcBorders>
            <w:shd w:val="clear" w:color="000000" w:fill="FFFFFF"/>
            <w:noWrap/>
            <w:vAlign w:val="bottom"/>
            <w:hideMark/>
          </w:tcPr>
          <w:p w14:paraId="445198DC" w14:textId="3B541107" w:rsidR="00535174" w:rsidRPr="004427A8" w:rsidRDefault="00535174" w:rsidP="00535174">
            <w:pPr>
              <w:widowControl/>
              <w:jc w:val="right"/>
              <w:rPr>
                <w:bCs/>
                <w:sz w:val="18"/>
                <w:szCs w:val="18"/>
                <w:lang w:val="en-CA" w:eastAsia="en-CA"/>
              </w:rPr>
            </w:pPr>
          </w:p>
        </w:tc>
        <w:tc>
          <w:tcPr>
            <w:tcW w:w="1044" w:type="dxa"/>
            <w:tcBorders>
              <w:top w:val="single" w:sz="4" w:space="0" w:color="auto"/>
              <w:left w:val="nil"/>
              <w:right w:val="nil"/>
            </w:tcBorders>
            <w:shd w:val="clear" w:color="000000" w:fill="FFFFFF"/>
            <w:noWrap/>
            <w:vAlign w:val="bottom"/>
            <w:hideMark/>
          </w:tcPr>
          <w:p w14:paraId="0961FE3A" w14:textId="52731870" w:rsidR="00535174" w:rsidRPr="004427A8" w:rsidRDefault="00535174" w:rsidP="00535174">
            <w:pPr>
              <w:widowControl/>
              <w:jc w:val="right"/>
              <w:rPr>
                <w:bCs/>
                <w:sz w:val="18"/>
                <w:szCs w:val="18"/>
                <w:lang w:val="en-CA" w:eastAsia="en-CA"/>
              </w:rPr>
            </w:pPr>
            <w:r w:rsidRPr="004427A8">
              <w:rPr>
                <w:bCs/>
                <w:sz w:val="18"/>
                <w:szCs w:val="18"/>
                <w:lang w:val="en-CA" w:eastAsia="en-CA"/>
              </w:rPr>
              <w:t> </w:t>
            </w:r>
          </w:p>
        </w:tc>
        <w:tc>
          <w:tcPr>
            <w:tcW w:w="1056" w:type="dxa"/>
            <w:tcBorders>
              <w:top w:val="single" w:sz="4" w:space="0" w:color="auto"/>
              <w:left w:val="nil"/>
              <w:right w:val="nil"/>
            </w:tcBorders>
            <w:shd w:val="clear" w:color="000000" w:fill="FFFFFF"/>
            <w:noWrap/>
            <w:vAlign w:val="bottom"/>
            <w:hideMark/>
          </w:tcPr>
          <w:p w14:paraId="0F62A36E" w14:textId="7A6B032A" w:rsidR="00535174" w:rsidRPr="004427A8" w:rsidRDefault="00535174" w:rsidP="00535174">
            <w:pPr>
              <w:widowControl/>
              <w:jc w:val="right"/>
              <w:rPr>
                <w:bCs/>
                <w:sz w:val="18"/>
                <w:szCs w:val="18"/>
                <w:lang w:val="en-CA" w:eastAsia="en-CA"/>
              </w:rPr>
            </w:pPr>
            <w:r w:rsidRPr="004427A8">
              <w:rPr>
                <w:bCs/>
                <w:sz w:val="18"/>
                <w:szCs w:val="18"/>
                <w:lang w:val="en-CA" w:eastAsia="en-CA"/>
              </w:rPr>
              <w:t> </w:t>
            </w:r>
          </w:p>
        </w:tc>
      </w:tr>
      <w:tr w:rsidR="00535174" w:rsidRPr="004427A8" w14:paraId="47DC3072" w14:textId="77777777" w:rsidTr="00786D71">
        <w:trPr>
          <w:trHeight w:val="187"/>
        </w:trPr>
        <w:tc>
          <w:tcPr>
            <w:tcW w:w="1245" w:type="dxa"/>
            <w:tcBorders>
              <w:top w:val="nil"/>
              <w:left w:val="nil"/>
              <w:bottom w:val="double" w:sz="4" w:space="0" w:color="auto"/>
              <w:right w:val="nil"/>
            </w:tcBorders>
            <w:shd w:val="clear" w:color="000000" w:fill="FFFFFF"/>
            <w:noWrap/>
            <w:vAlign w:val="bottom"/>
            <w:hideMark/>
          </w:tcPr>
          <w:p w14:paraId="5088852F" w14:textId="77777777" w:rsidR="00535174" w:rsidRPr="004427A8" w:rsidRDefault="00535174" w:rsidP="00535174">
            <w:pPr>
              <w:widowControl/>
              <w:spacing w:after="40"/>
              <w:rPr>
                <w:sz w:val="18"/>
                <w:szCs w:val="18"/>
                <w:lang w:val="en-CA" w:eastAsia="en-CA"/>
              </w:rPr>
            </w:pPr>
            <w:r w:rsidRPr="004427A8">
              <w:rPr>
                <w:sz w:val="18"/>
                <w:szCs w:val="18"/>
                <w:lang w:val="en-CA" w:eastAsia="en-CA"/>
              </w:rPr>
              <w:t xml:space="preserve">Total Assets </w:t>
            </w:r>
          </w:p>
        </w:tc>
        <w:tc>
          <w:tcPr>
            <w:tcW w:w="1095" w:type="dxa"/>
            <w:tcBorders>
              <w:left w:val="nil"/>
              <w:bottom w:val="double" w:sz="4" w:space="0" w:color="auto"/>
              <w:right w:val="nil"/>
            </w:tcBorders>
            <w:shd w:val="clear" w:color="auto" w:fill="auto"/>
          </w:tcPr>
          <w:p w14:paraId="206A2D13" w14:textId="77AB1A93" w:rsidR="00535174" w:rsidRDefault="00535174" w:rsidP="00535174">
            <w:pPr>
              <w:widowControl/>
              <w:spacing w:after="40"/>
              <w:jc w:val="right"/>
              <w:rPr>
                <w:bCs/>
                <w:sz w:val="18"/>
                <w:szCs w:val="18"/>
                <w:lang w:val="en-CA" w:eastAsia="en-CA"/>
              </w:rPr>
            </w:pPr>
            <w:r>
              <w:rPr>
                <w:bCs/>
                <w:sz w:val="18"/>
                <w:szCs w:val="18"/>
                <w:lang w:val="en-CA" w:eastAsia="en-CA"/>
              </w:rPr>
              <w:t>15,</w:t>
            </w:r>
            <w:r w:rsidR="00666A08">
              <w:rPr>
                <w:bCs/>
                <w:sz w:val="18"/>
                <w:szCs w:val="18"/>
                <w:lang w:val="en-CA" w:eastAsia="en-CA"/>
              </w:rPr>
              <w:t>781,510</w:t>
            </w:r>
          </w:p>
        </w:tc>
        <w:tc>
          <w:tcPr>
            <w:tcW w:w="1026" w:type="dxa"/>
            <w:tcBorders>
              <w:left w:val="nil"/>
              <w:bottom w:val="double" w:sz="4" w:space="0" w:color="auto"/>
              <w:right w:val="nil"/>
            </w:tcBorders>
            <w:shd w:val="clear" w:color="000000" w:fill="FFFFFF"/>
            <w:noWrap/>
          </w:tcPr>
          <w:p w14:paraId="244FF2F1" w14:textId="2B1D3394" w:rsidR="00535174" w:rsidRPr="004427A8" w:rsidRDefault="00535174" w:rsidP="00535174">
            <w:pPr>
              <w:widowControl/>
              <w:spacing w:after="40"/>
              <w:jc w:val="right"/>
              <w:rPr>
                <w:bCs/>
                <w:sz w:val="18"/>
                <w:szCs w:val="18"/>
                <w:lang w:val="en-CA" w:eastAsia="en-CA"/>
              </w:rPr>
            </w:pPr>
            <w:r>
              <w:rPr>
                <w:bCs/>
                <w:sz w:val="18"/>
                <w:szCs w:val="18"/>
                <w:lang w:val="en-CA" w:eastAsia="en-CA"/>
              </w:rPr>
              <w:t>15,842,960</w:t>
            </w:r>
          </w:p>
        </w:tc>
        <w:tc>
          <w:tcPr>
            <w:tcW w:w="1026" w:type="dxa"/>
            <w:tcBorders>
              <w:left w:val="nil"/>
              <w:bottom w:val="double" w:sz="4" w:space="0" w:color="auto"/>
              <w:right w:val="nil"/>
            </w:tcBorders>
            <w:shd w:val="clear" w:color="000000" w:fill="FFFFFF"/>
            <w:noWrap/>
            <w:hideMark/>
          </w:tcPr>
          <w:p w14:paraId="2A27D481" w14:textId="1C4B46B6" w:rsidR="00535174" w:rsidRPr="004427A8" w:rsidRDefault="00535174" w:rsidP="00535174">
            <w:pPr>
              <w:widowControl/>
              <w:spacing w:after="40"/>
              <w:jc w:val="right"/>
              <w:rPr>
                <w:bCs/>
                <w:sz w:val="18"/>
                <w:szCs w:val="18"/>
                <w:lang w:val="en-CA" w:eastAsia="en-CA"/>
              </w:rPr>
            </w:pPr>
            <w:r>
              <w:rPr>
                <w:bCs/>
                <w:sz w:val="18"/>
                <w:szCs w:val="18"/>
                <w:lang w:val="en-CA" w:eastAsia="en-CA"/>
              </w:rPr>
              <w:t>14,979,346</w:t>
            </w:r>
          </w:p>
        </w:tc>
        <w:tc>
          <w:tcPr>
            <w:tcW w:w="1046" w:type="dxa"/>
            <w:tcBorders>
              <w:left w:val="nil"/>
              <w:bottom w:val="double" w:sz="4" w:space="0" w:color="auto"/>
              <w:right w:val="nil"/>
            </w:tcBorders>
            <w:shd w:val="clear" w:color="000000" w:fill="FFFFFF"/>
            <w:noWrap/>
            <w:vAlign w:val="bottom"/>
            <w:hideMark/>
          </w:tcPr>
          <w:p w14:paraId="5510213E" w14:textId="6E41230A" w:rsidR="00535174" w:rsidRPr="004427A8" w:rsidRDefault="00535174" w:rsidP="00535174">
            <w:pPr>
              <w:widowControl/>
              <w:spacing w:after="40"/>
              <w:jc w:val="right"/>
              <w:rPr>
                <w:bCs/>
                <w:sz w:val="18"/>
                <w:szCs w:val="18"/>
                <w:lang w:val="en-CA" w:eastAsia="en-CA"/>
              </w:rPr>
            </w:pPr>
            <w:r>
              <w:rPr>
                <w:bCs/>
                <w:sz w:val="18"/>
                <w:szCs w:val="18"/>
                <w:lang w:val="en-CA" w:eastAsia="en-CA"/>
              </w:rPr>
              <w:t>15,511,674</w:t>
            </w:r>
          </w:p>
        </w:tc>
        <w:tc>
          <w:tcPr>
            <w:tcW w:w="1029" w:type="dxa"/>
            <w:tcBorders>
              <w:left w:val="nil"/>
              <w:bottom w:val="double" w:sz="4" w:space="0" w:color="auto"/>
              <w:right w:val="nil"/>
            </w:tcBorders>
            <w:shd w:val="clear" w:color="000000" w:fill="FFFFFF"/>
            <w:noWrap/>
            <w:vAlign w:val="bottom"/>
            <w:hideMark/>
          </w:tcPr>
          <w:p w14:paraId="66D83331" w14:textId="59919525" w:rsidR="00535174" w:rsidRPr="004427A8" w:rsidRDefault="00535174" w:rsidP="00535174">
            <w:pPr>
              <w:widowControl/>
              <w:spacing w:after="40"/>
              <w:jc w:val="right"/>
              <w:rPr>
                <w:bCs/>
                <w:sz w:val="18"/>
                <w:szCs w:val="18"/>
                <w:lang w:val="en-CA" w:eastAsia="en-CA"/>
              </w:rPr>
            </w:pPr>
            <w:r w:rsidRPr="004427A8">
              <w:rPr>
                <w:bCs/>
                <w:sz w:val="18"/>
                <w:szCs w:val="18"/>
                <w:lang w:val="en-CA" w:eastAsia="en-CA"/>
              </w:rPr>
              <w:t>16,002,982</w:t>
            </w:r>
          </w:p>
        </w:tc>
        <w:tc>
          <w:tcPr>
            <w:tcW w:w="1026" w:type="dxa"/>
            <w:tcBorders>
              <w:left w:val="nil"/>
              <w:bottom w:val="double" w:sz="4" w:space="0" w:color="auto"/>
              <w:right w:val="nil"/>
            </w:tcBorders>
            <w:shd w:val="clear" w:color="000000" w:fill="FFFFFF"/>
            <w:noWrap/>
            <w:vAlign w:val="bottom"/>
            <w:hideMark/>
          </w:tcPr>
          <w:p w14:paraId="0F30DFAE" w14:textId="27F048DA" w:rsidR="00535174" w:rsidRPr="004427A8" w:rsidRDefault="00535174" w:rsidP="00535174">
            <w:pPr>
              <w:widowControl/>
              <w:spacing w:after="40"/>
              <w:jc w:val="right"/>
              <w:rPr>
                <w:bCs/>
                <w:sz w:val="18"/>
                <w:szCs w:val="18"/>
                <w:lang w:val="en-CA" w:eastAsia="en-CA"/>
              </w:rPr>
            </w:pPr>
            <w:r w:rsidRPr="004427A8">
              <w:rPr>
                <w:bCs/>
                <w:sz w:val="18"/>
                <w:szCs w:val="18"/>
                <w:lang w:val="en-CA" w:eastAsia="en-CA"/>
              </w:rPr>
              <w:t>16,665,547</w:t>
            </w:r>
          </w:p>
        </w:tc>
        <w:tc>
          <w:tcPr>
            <w:tcW w:w="1044" w:type="dxa"/>
            <w:tcBorders>
              <w:left w:val="nil"/>
              <w:bottom w:val="double" w:sz="4" w:space="0" w:color="auto"/>
              <w:right w:val="nil"/>
            </w:tcBorders>
            <w:shd w:val="clear" w:color="000000" w:fill="FFFFFF"/>
            <w:noWrap/>
            <w:vAlign w:val="bottom"/>
            <w:hideMark/>
          </w:tcPr>
          <w:p w14:paraId="6101D9DF" w14:textId="32D2FEB7" w:rsidR="00535174" w:rsidRPr="004427A8" w:rsidRDefault="00535174" w:rsidP="00535174">
            <w:pPr>
              <w:widowControl/>
              <w:spacing w:after="40"/>
              <w:jc w:val="right"/>
              <w:rPr>
                <w:bCs/>
                <w:sz w:val="18"/>
                <w:szCs w:val="18"/>
                <w:lang w:val="en-CA" w:eastAsia="en-CA"/>
              </w:rPr>
            </w:pPr>
            <w:r w:rsidRPr="004427A8">
              <w:rPr>
                <w:bCs/>
                <w:sz w:val="18"/>
                <w:szCs w:val="18"/>
                <w:lang w:val="en-CA" w:eastAsia="en-CA"/>
              </w:rPr>
              <w:t xml:space="preserve">16,631,330 </w:t>
            </w:r>
          </w:p>
        </w:tc>
        <w:tc>
          <w:tcPr>
            <w:tcW w:w="1056" w:type="dxa"/>
            <w:tcBorders>
              <w:left w:val="nil"/>
              <w:bottom w:val="double" w:sz="4" w:space="0" w:color="auto"/>
              <w:right w:val="nil"/>
            </w:tcBorders>
            <w:shd w:val="clear" w:color="000000" w:fill="FFFFFF"/>
            <w:noWrap/>
            <w:vAlign w:val="bottom"/>
            <w:hideMark/>
          </w:tcPr>
          <w:p w14:paraId="1F101AAD" w14:textId="1DD8CACE" w:rsidR="00535174" w:rsidRPr="004427A8" w:rsidRDefault="00535174" w:rsidP="00535174">
            <w:pPr>
              <w:widowControl/>
              <w:spacing w:after="40"/>
              <w:jc w:val="right"/>
              <w:rPr>
                <w:bCs/>
                <w:sz w:val="18"/>
                <w:szCs w:val="18"/>
                <w:lang w:val="en-CA" w:eastAsia="en-CA"/>
              </w:rPr>
            </w:pPr>
            <w:r w:rsidRPr="004427A8">
              <w:rPr>
                <w:bCs/>
                <w:sz w:val="18"/>
                <w:szCs w:val="18"/>
                <w:lang w:val="en-CA" w:eastAsia="en-CA"/>
              </w:rPr>
              <w:t xml:space="preserve">16,373,023 </w:t>
            </w:r>
          </w:p>
        </w:tc>
      </w:tr>
    </w:tbl>
    <w:p w14:paraId="653B57D5" w14:textId="77777777" w:rsidR="00A72820" w:rsidRDefault="00A72820" w:rsidP="00A72820">
      <w:pPr>
        <w:adjustRightInd w:val="0"/>
        <w:spacing w:before="120" w:after="120"/>
        <w:jc w:val="both"/>
        <w:rPr>
          <w:sz w:val="20"/>
        </w:rPr>
      </w:pPr>
      <w:r>
        <w:rPr>
          <w:sz w:val="20"/>
        </w:rPr>
        <w:t xml:space="preserve">Fluctuations in Assets are mostly due to cash on financing activities and deployed to property investigation and acquisition and advancement of exploration and evaluation assets. The amount and timing of expenses and availability of capital resources vary substantially from quarter to quarter, depending on the level of exploration activities being undertaken at any time and the availability of funding from investors or collaboration partners. </w:t>
      </w:r>
    </w:p>
    <w:p w14:paraId="30A57F17" w14:textId="77777777" w:rsidR="000928F5" w:rsidRPr="009F7E24" w:rsidRDefault="000928F5" w:rsidP="00E34B03">
      <w:pPr>
        <w:adjustRightInd w:val="0"/>
        <w:spacing w:after="120"/>
        <w:jc w:val="both"/>
        <w:rPr>
          <w:b/>
          <w:caps/>
          <w:sz w:val="20"/>
        </w:rPr>
      </w:pPr>
      <w:r w:rsidRPr="009F7E24">
        <w:rPr>
          <w:b/>
          <w:caps/>
          <w:sz w:val="20"/>
        </w:rPr>
        <w:t>LIQUIDITY AND CAPITAL RESOURCES</w:t>
      </w:r>
    </w:p>
    <w:p w14:paraId="580960BB" w14:textId="6A28120B" w:rsidR="000928F5" w:rsidRDefault="000928F5" w:rsidP="0047736E">
      <w:pPr>
        <w:adjustRightInd w:val="0"/>
        <w:jc w:val="both"/>
        <w:rPr>
          <w:sz w:val="20"/>
        </w:rPr>
      </w:pPr>
      <w:r w:rsidRPr="009F7E24">
        <w:rPr>
          <w:sz w:val="20"/>
        </w:rPr>
        <w:t xml:space="preserve">The financial statements have been prepared on a going-concern basis, which assumes the realization of assets and liquidation of liabilities in the normal course of business. Continuing operations, as intended, are dependent on management’s ability to </w:t>
      </w:r>
      <w:proofErr w:type="gramStart"/>
      <w:r w:rsidRPr="009F7E24">
        <w:rPr>
          <w:sz w:val="20"/>
        </w:rPr>
        <w:t>raise</w:t>
      </w:r>
      <w:proofErr w:type="gramEnd"/>
      <w:r w:rsidRPr="009F7E24">
        <w:rPr>
          <w:sz w:val="20"/>
        </w:rPr>
        <w:t xml:space="preserve"> required funding through future equity issuances, its ability to acquire resource property or business interests and develop profitable operations or a combination thereof, which is not assured, given today’s volatile and uncertain financial markets. The Company may revise exploration and development programs depending on its working capital position. </w:t>
      </w:r>
    </w:p>
    <w:p w14:paraId="1E4932F9" w14:textId="77777777" w:rsidR="00366296" w:rsidRDefault="00366296" w:rsidP="0047736E">
      <w:pPr>
        <w:adjustRightInd w:val="0"/>
        <w:jc w:val="both"/>
        <w:rPr>
          <w:sz w:val="20"/>
        </w:rPr>
      </w:pPr>
    </w:p>
    <w:p w14:paraId="398CF03C" w14:textId="7391A73D" w:rsidR="007D410A" w:rsidRDefault="004825D3" w:rsidP="0047736E">
      <w:pPr>
        <w:adjustRightInd w:val="0"/>
        <w:jc w:val="both"/>
        <w:rPr>
          <w:sz w:val="20"/>
        </w:rPr>
      </w:pPr>
      <w:r w:rsidRPr="009F7E24">
        <w:rPr>
          <w:sz w:val="20"/>
        </w:rPr>
        <w:t xml:space="preserve">As at </w:t>
      </w:r>
      <w:r w:rsidR="00366296">
        <w:rPr>
          <w:sz w:val="20"/>
        </w:rPr>
        <w:t>June 30</w:t>
      </w:r>
      <w:r w:rsidR="00B877DA" w:rsidRPr="009F7E24">
        <w:rPr>
          <w:sz w:val="20"/>
        </w:rPr>
        <w:t>,</w:t>
      </w:r>
      <w:r w:rsidR="00A72820" w:rsidRPr="009F7E24">
        <w:rPr>
          <w:sz w:val="20"/>
        </w:rPr>
        <w:t xml:space="preserve"> </w:t>
      </w:r>
      <w:r w:rsidR="00B877DA" w:rsidRPr="009F7E24">
        <w:rPr>
          <w:sz w:val="20"/>
        </w:rPr>
        <w:t>20</w:t>
      </w:r>
      <w:r w:rsidR="00A72820" w:rsidRPr="009F7E24">
        <w:rPr>
          <w:sz w:val="20"/>
        </w:rPr>
        <w:t>20</w:t>
      </w:r>
      <w:r w:rsidR="00B877DA" w:rsidRPr="009F7E24">
        <w:rPr>
          <w:sz w:val="20"/>
        </w:rPr>
        <w:t>,</w:t>
      </w:r>
      <w:r w:rsidRPr="009F7E24">
        <w:rPr>
          <w:sz w:val="20"/>
        </w:rPr>
        <w:t xml:space="preserve"> the Company had </w:t>
      </w:r>
      <w:r w:rsidR="00D7118E" w:rsidRPr="009F7E24">
        <w:rPr>
          <w:sz w:val="20"/>
        </w:rPr>
        <w:t xml:space="preserve">a </w:t>
      </w:r>
      <w:r w:rsidR="00CD4C44" w:rsidRPr="009F7E24">
        <w:rPr>
          <w:sz w:val="20"/>
        </w:rPr>
        <w:t xml:space="preserve">working capital </w:t>
      </w:r>
      <w:r w:rsidRPr="009F7E24">
        <w:rPr>
          <w:sz w:val="20"/>
        </w:rPr>
        <w:t xml:space="preserve">of </w:t>
      </w:r>
      <w:r w:rsidR="00330B05" w:rsidRPr="009F7E24">
        <w:rPr>
          <w:sz w:val="20"/>
        </w:rPr>
        <w:t>$</w:t>
      </w:r>
      <w:r w:rsidR="00D466A0">
        <w:rPr>
          <w:sz w:val="20"/>
        </w:rPr>
        <w:t>345,128</w:t>
      </w:r>
      <w:r w:rsidR="00D7118E" w:rsidRPr="009F7E24">
        <w:rPr>
          <w:sz w:val="20"/>
        </w:rPr>
        <w:t xml:space="preserve"> </w:t>
      </w:r>
      <w:r w:rsidRPr="009F7E24">
        <w:rPr>
          <w:sz w:val="20"/>
        </w:rPr>
        <w:t>(</w:t>
      </w:r>
      <w:r w:rsidR="009409DF">
        <w:rPr>
          <w:sz w:val="20"/>
        </w:rPr>
        <w:t>March 31, 2020</w:t>
      </w:r>
      <w:r w:rsidRPr="009F7E24">
        <w:rPr>
          <w:sz w:val="20"/>
        </w:rPr>
        <w:t xml:space="preserve"> </w:t>
      </w:r>
      <w:r w:rsidR="00330B05" w:rsidRPr="009F7E24">
        <w:rPr>
          <w:sz w:val="20"/>
        </w:rPr>
        <w:t>–</w:t>
      </w:r>
      <w:r w:rsidR="00AC6362" w:rsidRPr="009F7E24">
        <w:rPr>
          <w:sz w:val="20"/>
        </w:rPr>
        <w:t xml:space="preserve"> </w:t>
      </w:r>
      <w:r w:rsidR="00FA50D4">
        <w:rPr>
          <w:sz w:val="20"/>
        </w:rPr>
        <w:t>$</w:t>
      </w:r>
      <w:r w:rsidR="009409DF">
        <w:rPr>
          <w:sz w:val="20"/>
        </w:rPr>
        <w:t>495,107</w:t>
      </w:r>
      <w:r w:rsidR="009D2201" w:rsidRPr="009F7E24">
        <w:rPr>
          <w:sz w:val="20"/>
        </w:rPr>
        <w:t>)</w:t>
      </w:r>
      <w:r w:rsidR="00A53511" w:rsidRPr="009F7E24">
        <w:rPr>
          <w:sz w:val="20"/>
        </w:rPr>
        <w:t xml:space="preserve"> </w:t>
      </w:r>
      <w:r w:rsidRPr="009F7E24">
        <w:rPr>
          <w:sz w:val="20"/>
        </w:rPr>
        <w:t xml:space="preserve">which primarily consisted of cash of </w:t>
      </w:r>
      <w:r w:rsidR="00AB48B7" w:rsidRPr="009F7E24">
        <w:rPr>
          <w:sz w:val="20"/>
        </w:rPr>
        <w:t>$</w:t>
      </w:r>
      <w:r w:rsidR="009409DF">
        <w:rPr>
          <w:sz w:val="20"/>
        </w:rPr>
        <w:t>919,947</w:t>
      </w:r>
      <w:r w:rsidR="007D410A" w:rsidRPr="009F7E24">
        <w:rPr>
          <w:sz w:val="20"/>
        </w:rPr>
        <w:t xml:space="preserve"> </w:t>
      </w:r>
      <w:r w:rsidRPr="009F7E24">
        <w:rPr>
          <w:sz w:val="20"/>
        </w:rPr>
        <w:t>(</w:t>
      </w:r>
      <w:r w:rsidR="00330B05" w:rsidRPr="009F7E24">
        <w:rPr>
          <w:sz w:val="20"/>
        </w:rPr>
        <w:t>March 31, 20</w:t>
      </w:r>
      <w:r w:rsidR="009409DF">
        <w:rPr>
          <w:sz w:val="20"/>
        </w:rPr>
        <w:t>20</w:t>
      </w:r>
      <w:r w:rsidRPr="009F7E24">
        <w:rPr>
          <w:sz w:val="20"/>
        </w:rPr>
        <w:t xml:space="preserve"> - $</w:t>
      </w:r>
      <w:r w:rsidR="009409DF">
        <w:rPr>
          <w:sz w:val="20"/>
        </w:rPr>
        <w:t>1,023,103</w:t>
      </w:r>
      <w:r w:rsidRPr="009F7E24">
        <w:rPr>
          <w:sz w:val="20"/>
        </w:rPr>
        <w:t>), receivables of $</w:t>
      </w:r>
      <w:r w:rsidR="009409DF">
        <w:rPr>
          <w:sz w:val="20"/>
        </w:rPr>
        <w:t>18,946</w:t>
      </w:r>
      <w:r w:rsidR="00AB48B7" w:rsidRPr="009F7E24">
        <w:rPr>
          <w:sz w:val="20"/>
        </w:rPr>
        <w:t xml:space="preserve"> </w:t>
      </w:r>
      <w:r w:rsidRPr="009F7E24">
        <w:rPr>
          <w:sz w:val="20"/>
        </w:rPr>
        <w:t>(</w:t>
      </w:r>
      <w:r w:rsidR="00330B05" w:rsidRPr="009F7E24">
        <w:rPr>
          <w:sz w:val="20"/>
        </w:rPr>
        <w:t>March 31, 20</w:t>
      </w:r>
      <w:r w:rsidR="009409DF">
        <w:rPr>
          <w:sz w:val="20"/>
        </w:rPr>
        <w:t>20</w:t>
      </w:r>
      <w:r w:rsidR="00DE7AE5" w:rsidRPr="009F7E24">
        <w:rPr>
          <w:sz w:val="20"/>
        </w:rPr>
        <w:t xml:space="preserve"> </w:t>
      </w:r>
      <w:r w:rsidRPr="009F7E24">
        <w:rPr>
          <w:sz w:val="20"/>
        </w:rPr>
        <w:t xml:space="preserve">- </w:t>
      </w:r>
      <w:r w:rsidR="00A72820" w:rsidRPr="009F7E24">
        <w:rPr>
          <w:sz w:val="20"/>
        </w:rPr>
        <w:t>$</w:t>
      </w:r>
      <w:r w:rsidR="009409DF">
        <w:rPr>
          <w:sz w:val="20"/>
        </w:rPr>
        <w:t>49,882</w:t>
      </w:r>
      <w:r w:rsidRPr="009F7E24">
        <w:rPr>
          <w:sz w:val="20"/>
        </w:rPr>
        <w:t>) and prepaid expenses of $</w:t>
      </w:r>
      <w:r w:rsidR="009409DF">
        <w:rPr>
          <w:sz w:val="20"/>
        </w:rPr>
        <w:t>Nil</w:t>
      </w:r>
      <w:r w:rsidRPr="009F7E24">
        <w:rPr>
          <w:sz w:val="20"/>
        </w:rPr>
        <w:t xml:space="preserve"> </w:t>
      </w:r>
      <w:r w:rsidR="00330B05" w:rsidRPr="009F7E24">
        <w:rPr>
          <w:sz w:val="20"/>
        </w:rPr>
        <w:t>(March 31, 20</w:t>
      </w:r>
      <w:r w:rsidR="009409DF">
        <w:rPr>
          <w:sz w:val="20"/>
        </w:rPr>
        <w:t>20</w:t>
      </w:r>
      <w:r w:rsidR="00330B05" w:rsidRPr="009F7E24">
        <w:rPr>
          <w:sz w:val="20"/>
        </w:rPr>
        <w:t xml:space="preserve"> </w:t>
      </w:r>
      <w:r w:rsidRPr="009F7E24">
        <w:rPr>
          <w:sz w:val="20"/>
        </w:rPr>
        <w:t>- $</w:t>
      </w:r>
      <w:r w:rsidR="009409DF">
        <w:rPr>
          <w:sz w:val="20"/>
        </w:rPr>
        <w:t>7,521</w:t>
      </w:r>
      <w:r w:rsidRPr="009F7E24">
        <w:rPr>
          <w:sz w:val="20"/>
        </w:rPr>
        <w:t xml:space="preserve">). Current liabilities, being accounts payable and accrued liabilities as at </w:t>
      </w:r>
      <w:r w:rsidR="009409DF">
        <w:rPr>
          <w:sz w:val="20"/>
        </w:rPr>
        <w:t>June 30</w:t>
      </w:r>
      <w:r w:rsidR="00AB48B7" w:rsidRPr="009F7E24">
        <w:rPr>
          <w:sz w:val="20"/>
        </w:rPr>
        <w:t>, 20</w:t>
      </w:r>
      <w:r w:rsidR="00FA50D4">
        <w:rPr>
          <w:sz w:val="20"/>
        </w:rPr>
        <w:t>20</w:t>
      </w:r>
      <w:r w:rsidR="000661C0" w:rsidRPr="009F7E24">
        <w:rPr>
          <w:sz w:val="20"/>
        </w:rPr>
        <w:t xml:space="preserve"> </w:t>
      </w:r>
      <w:r w:rsidRPr="009F7E24">
        <w:rPr>
          <w:sz w:val="20"/>
        </w:rPr>
        <w:t>amounted to $</w:t>
      </w:r>
      <w:r w:rsidR="009409DF">
        <w:rPr>
          <w:sz w:val="20"/>
        </w:rPr>
        <w:t>634,021</w:t>
      </w:r>
      <w:r w:rsidR="001E1896" w:rsidRPr="009F7E24">
        <w:rPr>
          <w:sz w:val="20"/>
        </w:rPr>
        <w:t xml:space="preserve"> </w:t>
      </w:r>
      <w:r w:rsidRPr="009F7E24">
        <w:rPr>
          <w:sz w:val="20"/>
        </w:rPr>
        <w:t>(</w:t>
      </w:r>
      <w:r w:rsidR="00330B05" w:rsidRPr="009F7E24">
        <w:rPr>
          <w:sz w:val="20"/>
        </w:rPr>
        <w:t>March 31, 20</w:t>
      </w:r>
      <w:r w:rsidR="009409DF">
        <w:rPr>
          <w:sz w:val="20"/>
        </w:rPr>
        <w:t>20</w:t>
      </w:r>
      <w:r w:rsidR="00330B05" w:rsidRPr="009F7E24">
        <w:rPr>
          <w:sz w:val="20"/>
        </w:rPr>
        <w:t xml:space="preserve"> - $</w:t>
      </w:r>
      <w:r w:rsidR="009409DF">
        <w:rPr>
          <w:sz w:val="20"/>
        </w:rPr>
        <w:t>613,730</w:t>
      </w:r>
      <w:r w:rsidR="00B70B5F" w:rsidRPr="009F7E24">
        <w:rPr>
          <w:sz w:val="20"/>
        </w:rPr>
        <w:t>)</w:t>
      </w:r>
      <w:r w:rsidR="002B6262">
        <w:rPr>
          <w:sz w:val="20"/>
        </w:rPr>
        <w:t xml:space="preserve"> and flow through liability of $</w:t>
      </w:r>
      <w:r w:rsidR="009409DF">
        <w:rPr>
          <w:sz w:val="20"/>
        </w:rPr>
        <w:t>229,504</w:t>
      </w:r>
      <w:r w:rsidR="002B6262">
        <w:rPr>
          <w:sz w:val="20"/>
        </w:rPr>
        <w:t xml:space="preserve"> (March 31, 20</w:t>
      </w:r>
      <w:r w:rsidR="009409DF">
        <w:rPr>
          <w:sz w:val="20"/>
        </w:rPr>
        <w:t>20</w:t>
      </w:r>
      <w:r w:rsidR="002B6262">
        <w:rPr>
          <w:sz w:val="20"/>
        </w:rPr>
        <w:t xml:space="preserve"> - $</w:t>
      </w:r>
      <w:r w:rsidR="009409DF">
        <w:rPr>
          <w:sz w:val="20"/>
        </w:rPr>
        <w:t>260,705</w:t>
      </w:r>
      <w:r w:rsidR="002B6262">
        <w:rPr>
          <w:sz w:val="20"/>
        </w:rPr>
        <w:t>).</w:t>
      </w:r>
      <w:r w:rsidR="00063203" w:rsidRPr="009F7E24">
        <w:rPr>
          <w:sz w:val="20"/>
        </w:rPr>
        <w:t xml:space="preserve"> </w:t>
      </w:r>
      <w:r w:rsidRPr="009F7E24">
        <w:rPr>
          <w:sz w:val="20"/>
        </w:rPr>
        <w:t xml:space="preserve">Refer to the </w:t>
      </w:r>
      <w:r w:rsidR="00D7118E" w:rsidRPr="009F7E24">
        <w:rPr>
          <w:sz w:val="20"/>
        </w:rPr>
        <w:t>Financial S</w:t>
      </w:r>
      <w:r w:rsidRPr="009F7E24">
        <w:rPr>
          <w:sz w:val="20"/>
        </w:rPr>
        <w:t xml:space="preserve">tatements for more information on the use of cash in operating, investing and financing activities for the </w:t>
      </w:r>
      <w:r w:rsidR="00541C64">
        <w:rPr>
          <w:sz w:val="20"/>
        </w:rPr>
        <w:t xml:space="preserve">period </w:t>
      </w:r>
      <w:r w:rsidR="00AB48B7" w:rsidRPr="009F7E24">
        <w:rPr>
          <w:sz w:val="20"/>
        </w:rPr>
        <w:t xml:space="preserve">ended </w:t>
      </w:r>
      <w:r w:rsidR="00541C64">
        <w:rPr>
          <w:sz w:val="20"/>
        </w:rPr>
        <w:t>June 30</w:t>
      </w:r>
      <w:r w:rsidR="00AB48B7" w:rsidRPr="009F7E24">
        <w:rPr>
          <w:sz w:val="20"/>
        </w:rPr>
        <w:t>, 20</w:t>
      </w:r>
      <w:r w:rsidR="00A72820" w:rsidRPr="009F7E24">
        <w:rPr>
          <w:sz w:val="20"/>
        </w:rPr>
        <w:t>20</w:t>
      </w:r>
      <w:r w:rsidR="00AB48B7" w:rsidRPr="009F7E24">
        <w:rPr>
          <w:sz w:val="20"/>
        </w:rPr>
        <w:t>.</w:t>
      </w:r>
    </w:p>
    <w:p w14:paraId="6EE90071" w14:textId="77777777" w:rsidR="008D5085" w:rsidRPr="00F35544" w:rsidRDefault="008D5085" w:rsidP="0047736E">
      <w:pPr>
        <w:adjustRightInd w:val="0"/>
        <w:jc w:val="both"/>
        <w:rPr>
          <w:sz w:val="20"/>
        </w:rPr>
      </w:pPr>
    </w:p>
    <w:p w14:paraId="7BC2D64C" w14:textId="77777777" w:rsidR="000928F5" w:rsidRPr="00F35544" w:rsidRDefault="00012922" w:rsidP="0047736E">
      <w:pPr>
        <w:adjustRightInd w:val="0"/>
        <w:jc w:val="both"/>
        <w:rPr>
          <w:sz w:val="20"/>
        </w:rPr>
      </w:pPr>
      <w:r w:rsidRPr="00F35544">
        <w:rPr>
          <w:sz w:val="20"/>
        </w:rPr>
        <w:t xml:space="preserve">Other than the </w:t>
      </w:r>
      <w:r w:rsidR="00850B93" w:rsidRPr="00F35544">
        <w:rPr>
          <w:sz w:val="20"/>
        </w:rPr>
        <w:t>above-mentioned</w:t>
      </w:r>
      <w:r w:rsidRPr="00F35544">
        <w:rPr>
          <w:sz w:val="20"/>
        </w:rPr>
        <w:t xml:space="preserve"> current liabilities, t</w:t>
      </w:r>
      <w:r w:rsidR="000928F5" w:rsidRPr="00F35544">
        <w:rPr>
          <w:sz w:val="20"/>
        </w:rPr>
        <w:t>he Company</w:t>
      </w:r>
      <w:r w:rsidR="00415013" w:rsidRPr="00F35544">
        <w:rPr>
          <w:sz w:val="20"/>
        </w:rPr>
        <w:t xml:space="preserve"> has</w:t>
      </w:r>
      <w:r w:rsidR="003436BE" w:rsidRPr="00F35544">
        <w:rPr>
          <w:sz w:val="20"/>
        </w:rPr>
        <w:t xml:space="preserve"> </w:t>
      </w:r>
      <w:r w:rsidR="00415013" w:rsidRPr="00F35544">
        <w:rPr>
          <w:sz w:val="20"/>
        </w:rPr>
        <w:t xml:space="preserve">no </w:t>
      </w:r>
      <w:r w:rsidR="000928F5" w:rsidRPr="00F35544">
        <w:rPr>
          <w:sz w:val="20"/>
        </w:rPr>
        <w:t xml:space="preserve">short-term capital spending requirements </w:t>
      </w:r>
      <w:r w:rsidR="000928F5" w:rsidRPr="00F35544">
        <w:rPr>
          <w:sz w:val="20"/>
        </w:rPr>
        <w:lastRenderedPageBreak/>
        <w:t>and future plans and expectations are based on the assumption that the Company will realize its assets and discharge its liabilities in the normal course of business rather than through a process of forced liquidation. There can be no assurance that the Company will be able to obtain adequate financing in the future or if available that such financing will be on acceptable terms. If adequate financing is not available when required, the Company may be required to delay, scale back or eliminate various programs and may be unable to continue in operation. The Company may seek such additional financing through debt or equity offerings. Any equity offering will result in dilution to the ownership interests of the Company’s shareholders and may result in dilution to the value of such interests.</w:t>
      </w:r>
    </w:p>
    <w:p w14:paraId="2C5CF3D1" w14:textId="77777777" w:rsidR="00965C9A" w:rsidRDefault="00965C9A" w:rsidP="00FA06A6">
      <w:pPr>
        <w:adjustRightInd w:val="0"/>
        <w:spacing w:after="120"/>
        <w:jc w:val="both"/>
        <w:rPr>
          <w:b/>
          <w:caps/>
          <w:sz w:val="20"/>
        </w:rPr>
      </w:pPr>
    </w:p>
    <w:p w14:paraId="72291B97" w14:textId="7239BEE3" w:rsidR="00FA06A6" w:rsidRPr="009F7E24" w:rsidRDefault="00FA06A6" w:rsidP="00FA06A6">
      <w:pPr>
        <w:adjustRightInd w:val="0"/>
        <w:spacing w:after="120"/>
        <w:jc w:val="both"/>
        <w:rPr>
          <w:b/>
          <w:caps/>
          <w:sz w:val="20"/>
        </w:rPr>
      </w:pPr>
      <w:r w:rsidRPr="009F7E24">
        <w:rPr>
          <w:b/>
          <w:caps/>
          <w:sz w:val="20"/>
        </w:rPr>
        <w:t>LIQUIDITY AND CAPITAL RESOURCES</w:t>
      </w:r>
      <w:r>
        <w:rPr>
          <w:b/>
          <w:caps/>
          <w:sz w:val="20"/>
        </w:rPr>
        <w:t xml:space="preserve"> (CONTINUED)</w:t>
      </w:r>
    </w:p>
    <w:p w14:paraId="41726622" w14:textId="77777777" w:rsidR="003436BE" w:rsidRPr="00F35544" w:rsidRDefault="000928F5" w:rsidP="0047736E">
      <w:pPr>
        <w:jc w:val="both"/>
        <w:rPr>
          <w:sz w:val="20"/>
        </w:rPr>
      </w:pPr>
      <w:r w:rsidRPr="00F35544">
        <w:rPr>
          <w:sz w:val="20"/>
        </w:rPr>
        <w:t>The Company’s future revenues, if any, are expected to be from the mining and sale of mineral products or interests related there to. The economics of developing and producing mineral products are affected by many factors including the cost of operations, variations in the grade of ore mined</w:t>
      </w:r>
      <w:r w:rsidR="008D47F1" w:rsidRPr="00F35544">
        <w:rPr>
          <w:sz w:val="20"/>
        </w:rPr>
        <w:t>,</w:t>
      </w:r>
      <w:r w:rsidRPr="00F35544">
        <w:rPr>
          <w:sz w:val="20"/>
        </w:rPr>
        <w:t xml:space="preserve"> and the price of metals. Depending on the price of metals, the Company may determine that it is impractical to continue commercial production. The price of metals has fluctuated widely in recent years and is affected by many factors beyond the Company’s control including changes in international investment patterns and monetary systems, economic growth rates, political developments, the extent of sales or accumulation of reserves by </w:t>
      </w:r>
      <w:r w:rsidR="00850B93" w:rsidRPr="00F35544">
        <w:rPr>
          <w:sz w:val="20"/>
        </w:rPr>
        <w:t>governments and</w:t>
      </w:r>
      <w:r w:rsidRPr="00F35544">
        <w:rPr>
          <w:sz w:val="20"/>
        </w:rPr>
        <w:t xml:space="preserve"> shifts in private supplies of and demands for metals. The supply of metals consists of a combination of mine production, recycled material</w:t>
      </w:r>
      <w:r w:rsidR="008D47F1" w:rsidRPr="00F35544">
        <w:rPr>
          <w:sz w:val="20"/>
        </w:rPr>
        <w:t>,</w:t>
      </w:r>
      <w:r w:rsidRPr="00F35544">
        <w:rPr>
          <w:sz w:val="20"/>
        </w:rPr>
        <w:t xml:space="preserve"> and existing stocks held by governments, producers, financial institutions and consumers. If the market price for metals falls below the Company’s full production costs and remains at such levels for any sustained period of time, the Company will experience losses and may decide to discontinue operations or development of other projects or mining at one or more of its properties at that time.</w:t>
      </w:r>
    </w:p>
    <w:p w14:paraId="5CC51013" w14:textId="77777777" w:rsidR="002B2570" w:rsidRPr="00F35544" w:rsidRDefault="002B2570" w:rsidP="0047736E">
      <w:pPr>
        <w:jc w:val="both"/>
        <w:rPr>
          <w:sz w:val="20"/>
        </w:rPr>
      </w:pPr>
    </w:p>
    <w:p w14:paraId="0F068E0F" w14:textId="77777777" w:rsidR="00F21F96" w:rsidRPr="00F35544" w:rsidRDefault="00F21F96" w:rsidP="00F21F96">
      <w:pPr>
        <w:adjustRightInd w:val="0"/>
        <w:jc w:val="both"/>
        <w:rPr>
          <w:b/>
          <w:caps/>
          <w:sz w:val="20"/>
        </w:rPr>
      </w:pPr>
      <w:r w:rsidRPr="00F35544">
        <w:rPr>
          <w:b/>
          <w:caps/>
          <w:sz w:val="20"/>
        </w:rPr>
        <w:t>LIQUIDITY AND CAPITAL RESOURCES – CASH FLOW</w:t>
      </w:r>
    </w:p>
    <w:p w14:paraId="0984912C" w14:textId="77777777" w:rsidR="00F21F96" w:rsidRPr="00F35544" w:rsidRDefault="00F21F96" w:rsidP="00F21F96">
      <w:pPr>
        <w:adjustRightInd w:val="0"/>
        <w:jc w:val="both"/>
        <w:rPr>
          <w:b/>
          <w:caps/>
          <w:sz w:val="20"/>
        </w:rPr>
      </w:pPr>
    </w:p>
    <w:p w14:paraId="3DC1EF8B" w14:textId="77777777" w:rsidR="00F21F96" w:rsidRPr="00F35544" w:rsidRDefault="00F21F96" w:rsidP="00F21F96">
      <w:pPr>
        <w:adjustRightInd w:val="0"/>
        <w:jc w:val="both"/>
        <w:rPr>
          <w:b/>
          <w:caps/>
          <w:sz w:val="20"/>
        </w:rPr>
      </w:pPr>
      <w:r w:rsidRPr="00F35544">
        <w:rPr>
          <w:b/>
          <w:caps/>
          <w:sz w:val="20"/>
        </w:rPr>
        <w:t>Operating Activities:</w:t>
      </w:r>
    </w:p>
    <w:p w14:paraId="540F87EE" w14:textId="77777777" w:rsidR="00F21F96" w:rsidRPr="00F35544" w:rsidRDefault="00F21F96" w:rsidP="00F21F96">
      <w:pPr>
        <w:adjustRightInd w:val="0"/>
        <w:jc w:val="both"/>
        <w:rPr>
          <w:b/>
          <w:caps/>
          <w:sz w:val="20"/>
        </w:rPr>
      </w:pPr>
    </w:p>
    <w:p w14:paraId="72DE8688" w14:textId="527FFA10" w:rsidR="008D5085" w:rsidRPr="00F35544" w:rsidRDefault="00F21F96" w:rsidP="00F21F96">
      <w:pPr>
        <w:adjustRightInd w:val="0"/>
        <w:jc w:val="both"/>
        <w:rPr>
          <w:b/>
          <w:caps/>
          <w:sz w:val="20"/>
        </w:rPr>
      </w:pPr>
      <w:r w:rsidRPr="00F35544">
        <w:rPr>
          <w:sz w:val="20"/>
        </w:rPr>
        <w:t xml:space="preserve">Cash used in operating activities for the </w:t>
      </w:r>
      <w:r w:rsidR="004D0DB7">
        <w:rPr>
          <w:sz w:val="20"/>
        </w:rPr>
        <w:t>period</w:t>
      </w:r>
      <w:r w:rsidR="00AB48B7">
        <w:rPr>
          <w:sz w:val="20"/>
        </w:rPr>
        <w:t xml:space="preserve"> ended </w:t>
      </w:r>
      <w:r w:rsidR="004D0DB7">
        <w:rPr>
          <w:sz w:val="20"/>
        </w:rPr>
        <w:t>June 30</w:t>
      </w:r>
      <w:r w:rsidR="00AB48B7">
        <w:rPr>
          <w:sz w:val="20"/>
        </w:rPr>
        <w:t>, 20</w:t>
      </w:r>
      <w:r w:rsidR="008F4B5B">
        <w:rPr>
          <w:sz w:val="20"/>
        </w:rPr>
        <w:t>20</w:t>
      </w:r>
      <w:r w:rsidR="00134E8F" w:rsidRPr="00F35544">
        <w:rPr>
          <w:sz w:val="20"/>
        </w:rPr>
        <w:t xml:space="preserve"> was $</w:t>
      </w:r>
      <w:r w:rsidR="004D0DB7">
        <w:rPr>
          <w:sz w:val="20"/>
        </w:rPr>
        <w:t>233,445</w:t>
      </w:r>
      <w:r w:rsidR="00AB48B7">
        <w:rPr>
          <w:sz w:val="20"/>
        </w:rPr>
        <w:t xml:space="preserve"> </w:t>
      </w:r>
      <w:r w:rsidRPr="00F35544">
        <w:rPr>
          <w:sz w:val="20"/>
        </w:rPr>
        <w:t xml:space="preserve">as compared to </w:t>
      </w:r>
      <w:r w:rsidR="00FA06A6">
        <w:rPr>
          <w:sz w:val="20"/>
        </w:rPr>
        <w:t>$</w:t>
      </w:r>
      <w:r w:rsidR="004D0DB7">
        <w:rPr>
          <w:sz w:val="20"/>
        </w:rPr>
        <w:t>694,794</w:t>
      </w:r>
      <w:r w:rsidR="008F4B5B">
        <w:rPr>
          <w:sz w:val="20"/>
        </w:rPr>
        <w:t xml:space="preserve"> </w:t>
      </w:r>
      <w:r w:rsidRPr="00F35544">
        <w:rPr>
          <w:sz w:val="20"/>
        </w:rPr>
        <w:t>in the</w:t>
      </w:r>
      <w:r w:rsidR="001E1896" w:rsidRPr="00F35544">
        <w:rPr>
          <w:sz w:val="20"/>
        </w:rPr>
        <w:t xml:space="preserve"> comp</w:t>
      </w:r>
      <w:r w:rsidR="00F27615" w:rsidRPr="00F35544">
        <w:rPr>
          <w:sz w:val="20"/>
        </w:rPr>
        <w:t xml:space="preserve">arative period. Fluctuations in operating activities is attributed to </w:t>
      </w:r>
      <w:r w:rsidR="00850B93" w:rsidRPr="00F35544">
        <w:rPr>
          <w:sz w:val="20"/>
        </w:rPr>
        <w:t>a</w:t>
      </w:r>
      <w:r w:rsidR="00F27615" w:rsidRPr="00F35544">
        <w:rPr>
          <w:sz w:val="20"/>
        </w:rPr>
        <w:t xml:space="preserve"> funds received in advance for a private placement, resulting in a cash inflow in operating </w:t>
      </w:r>
      <w:r w:rsidR="00850B93" w:rsidRPr="00F35544">
        <w:rPr>
          <w:sz w:val="20"/>
        </w:rPr>
        <w:t>activities</w:t>
      </w:r>
      <w:r w:rsidR="00F27615" w:rsidRPr="00F35544">
        <w:rPr>
          <w:sz w:val="20"/>
        </w:rPr>
        <w:t>.</w:t>
      </w:r>
    </w:p>
    <w:p w14:paraId="5DDBFDC6" w14:textId="77777777" w:rsidR="008D5085" w:rsidRPr="00F35544" w:rsidRDefault="008D5085" w:rsidP="00F21F96">
      <w:pPr>
        <w:adjustRightInd w:val="0"/>
        <w:jc w:val="both"/>
        <w:rPr>
          <w:b/>
          <w:caps/>
          <w:sz w:val="20"/>
        </w:rPr>
      </w:pPr>
    </w:p>
    <w:p w14:paraId="5BA38432" w14:textId="77777777" w:rsidR="00F21F96" w:rsidRPr="00F35544" w:rsidRDefault="00F21F96" w:rsidP="00744859">
      <w:pPr>
        <w:adjustRightInd w:val="0"/>
        <w:spacing w:after="120"/>
        <w:jc w:val="both"/>
        <w:rPr>
          <w:b/>
          <w:caps/>
          <w:sz w:val="20"/>
        </w:rPr>
      </w:pPr>
      <w:r w:rsidRPr="00F35544">
        <w:rPr>
          <w:b/>
          <w:caps/>
          <w:sz w:val="20"/>
        </w:rPr>
        <w:t>Investing activities:</w:t>
      </w:r>
    </w:p>
    <w:p w14:paraId="2B136841" w14:textId="07B257DD" w:rsidR="00657F5D" w:rsidRDefault="00F21F96" w:rsidP="002E2257">
      <w:pPr>
        <w:adjustRightInd w:val="0"/>
        <w:jc w:val="both"/>
        <w:rPr>
          <w:sz w:val="20"/>
        </w:rPr>
      </w:pPr>
      <w:r w:rsidRPr="00F35544">
        <w:rPr>
          <w:sz w:val="20"/>
        </w:rPr>
        <w:t xml:space="preserve">Cash used in investing activities for the </w:t>
      </w:r>
      <w:r w:rsidR="006D64A6">
        <w:rPr>
          <w:sz w:val="20"/>
        </w:rPr>
        <w:t>period</w:t>
      </w:r>
      <w:r w:rsidR="00AB48B7">
        <w:rPr>
          <w:sz w:val="20"/>
        </w:rPr>
        <w:t xml:space="preserve"> ended </w:t>
      </w:r>
      <w:r w:rsidR="006D64A6">
        <w:rPr>
          <w:sz w:val="20"/>
        </w:rPr>
        <w:t>June 30</w:t>
      </w:r>
      <w:r w:rsidR="00AB48B7">
        <w:rPr>
          <w:sz w:val="20"/>
        </w:rPr>
        <w:t>, 20</w:t>
      </w:r>
      <w:r w:rsidR="008F4B5B">
        <w:rPr>
          <w:sz w:val="20"/>
        </w:rPr>
        <w:t>20</w:t>
      </w:r>
      <w:r w:rsidRPr="00F35544">
        <w:rPr>
          <w:sz w:val="20"/>
        </w:rPr>
        <w:t xml:space="preserve"> was $</w:t>
      </w:r>
      <w:r w:rsidR="006D64A6">
        <w:rPr>
          <w:sz w:val="20"/>
        </w:rPr>
        <w:t>182,337</w:t>
      </w:r>
      <w:r w:rsidRPr="00F35544">
        <w:rPr>
          <w:sz w:val="20"/>
        </w:rPr>
        <w:t xml:space="preserve"> as compared to $</w:t>
      </w:r>
      <w:r w:rsidR="008F4B5B">
        <w:rPr>
          <w:sz w:val="20"/>
        </w:rPr>
        <w:t>3</w:t>
      </w:r>
      <w:r w:rsidR="006D64A6">
        <w:rPr>
          <w:sz w:val="20"/>
        </w:rPr>
        <w:t xml:space="preserve">17,268 </w:t>
      </w:r>
      <w:r w:rsidRPr="00F35544">
        <w:rPr>
          <w:sz w:val="20"/>
        </w:rPr>
        <w:t>in the prior</w:t>
      </w:r>
      <w:r w:rsidR="00AB48B7">
        <w:rPr>
          <w:sz w:val="20"/>
        </w:rPr>
        <w:t xml:space="preserve"> </w:t>
      </w:r>
      <w:r w:rsidR="00E510E6">
        <w:rPr>
          <w:sz w:val="20"/>
        </w:rPr>
        <w:t>period</w:t>
      </w:r>
      <w:r w:rsidRPr="00F35544">
        <w:rPr>
          <w:sz w:val="20"/>
        </w:rPr>
        <w:t xml:space="preserve">. </w:t>
      </w:r>
      <w:r w:rsidR="00964F81" w:rsidRPr="00F35544">
        <w:rPr>
          <w:sz w:val="20"/>
        </w:rPr>
        <w:t>During the</w:t>
      </w:r>
      <w:r w:rsidR="007D410A">
        <w:rPr>
          <w:sz w:val="20"/>
        </w:rPr>
        <w:t xml:space="preserve"> </w:t>
      </w:r>
      <w:r w:rsidR="006D64A6">
        <w:rPr>
          <w:sz w:val="20"/>
        </w:rPr>
        <w:t>period</w:t>
      </w:r>
      <w:r w:rsidR="007D410A">
        <w:rPr>
          <w:sz w:val="20"/>
        </w:rPr>
        <w:t xml:space="preserve"> ended </w:t>
      </w:r>
      <w:r w:rsidR="006D64A6">
        <w:rPr>
          <w:sz w:val="20"/>
        </w:rPr>
        <w:t>June 30</w:t>
      </w:r>
      <w:r w:rsidR="007D410A">
        <w:rPr>
          <w:sz w:val="20"/>
        </w:rPr>
        <w:t>, 20</w:t>
      </w:r>
      <w:r w:rsidR="008F4B5B">
        <w:rPr>
          <w:sz w:val="20"/>
        </w:rPr>
        <w:t>20</w:t>
      </w:r>
      <w:r w:rsidR="00964F81" w:rsidRPr="00F35544">
        <w:rPr>
          <w:sz w:val="20"/>
        </w:rPr>
        <w:t xml:space="preserve">, the Company </w:t>
      </w:r>
      <w:r w:rsidR="00657F5D">
        <w:rPr>
          <w:sz w:val="20"/>
        </w:rPr>
        <w:t>continued to explore the Meguma project and incurred exploration and evaluation costs of $</w:t>
      </w:r>
      <w:r w:rsidR="003E4F24">
        <w:rPr>
          <w:sz w:val="20"/>
        </w:rPr>
        <w:t>10,106</w:t>
      </w:r>
      <w:r w:rsidR="00657F5D">
        <w:rPr>
          <w:sz w:val="20"/>
        </w:rPr>
        <w:t xml:space="preserve"> (2019 - $</w:t>
      </w:r>
      <w:r w:rsidR="003E4F24">
        <w:rPr>
          <w:sz w:val="20"/>
        </w:rPr>
        <w:t>317,268</w:t>
      </w:r>
      <w:r w:rsidR="00657F5D">
        <w:rPr>
          <w:sz w:val="20"/>
        </w:rPr>
        <w:t xml:space="preserve">) and </w:t>
      </w:r>
      <w:r w:rsidR="003E4F24">
        <w:rPr>
          <w:sz w:val="20"/>
        </w:rPr>
        <w:t>sold</w:t>
      </w:r>
      <w:r w:rsidR="00657F5D">
        <w:rPr>
          <w:sz w:val="20"/>
        </w:rPr>
        <w:t xml:space="preserve"> key investments for $</w:t>
      </w:r>
      <w:r w:rsidR="003E4F24">
        <w:rPr>
          <w:sz w:val="20"/>
        </w:rPr>
        <w:t>192,443</w:t>
      </w:r>
      <w:r w:rsidR="00657F5D">
        <w:rPr>
          <w:sz w:val="20"/>
        </w:rPr>
        <w:t xml:space="preserve"> and realized an overall gain of $</w:t>
      </w:r>
      <w:r w:rsidR="003E4F24">
        <w:rPr>
          <w:sz w:val="20"/>
        </w:rPr>
        <w:t>49,478</w:t>
      </w:r>
      <w:r w:rsidR="00657F5D">
        <w:rPr>
          <w:sz w:val="20"/>
        </w:rPr>
        <w:t>.</w:t>
      </w:r>
      <w:r w:rsidR="00657F5D" w:rsidRPr="00F35544" w:rsidDel="00657F5D">
        <w:rPr>
          <w:sz w:val="20"/>
        </w:rPr>
        <w:t xml:space="preserve"> </w:t>
      </w:r>
    </w:p>
    <w:p w14:paraId="22934348" w14:textId="77777777" w:rsidR="002E2257" w:rsidRDefault="002E2257" w:rsidP="002E2257">
      <w:pPr>
        <w:adjustRightInd w:val="0"/>
        <w:jc w:val="both"/>
        <w:rPr>
          <w:b/>
          <w:caps/>
          <w:sz w:val="20"/>
        </w:rPr>
      </w:pPr>
    </w:p>
    <w:p w14:paraId="0688E771" w14:textId="77777777" w:rsidR="00F21F96" w:rsidRDefault="00F21F96" w:rsidP="00657F5D">
      <w:pPr>
        <w:adjustRightInd w:val="0"/>
        <w:jc w:val="both"/>
        <w:rPr>
          <w:b/>
          <w:caps/>
          <w:sz w:val="20"/>
        </w:rPr>
      </w:pPr>
      <w:r w:rsidRPr="00F35544">
        <w:rPr>
          <w:b/>
          <w:caps/>
          <w:sz w:val="20"/>
        </w:rPr>
        <w:t>FInancing activities:</w:t>
      </w:r>
    </w:p>
    <w:p w14:paraId="4D239C10" w14:textId="77777777" w:rsidR="00657F5D" w:rsidRPr="00F35544" w:rsidRDefault="00657F5D" w:rsidP="00657F5D">
      <w:pPr>
        <w:adjustRightInd w:val="0"/>
        <w:jc w:val="both"/>
        <w:rPr>
          <w:b/>
          <w:caps/>
          <w:sz w:val="20"/>
        </w:rPr>
      </w:pPr>
    </w:p>
    <w:p w14:paraId="6A26ECA0" w14:textId="30B12A1A" w:rsidR="002E2257" w:rsidRDefault="00F21F96" w:rsidP="00F21F96">
      <w:pPr>
        <w:jc w:val="both"/>
        <w:rPr>
          <w:sz w:val="20"/>
        </w:rPr>
      </w:pPr>
      <w:r w:rsidRPr="00F35544">
        <w:rPr>
          <w:sz w:val="20"/>
        </w:rPr>
        <w:t xml:space="preserve">Cash </w:t>
      </w:r>
      <w:r w:rsidR="00F43399">
        <w:rPr>
          <w:sz w:val="20"/>
        </w:rPr>
        <w:t>used in</w:t>
      </w:r>
      <w:r w:rsidRPr="00F35544">
        <w:rPr>
          <w:sz w:val="20"/>
        </w:rPr>
        <w:t xml:space="preserve"> financing activities for the </w:t>
      </w:r>
      <w:r w:rsidR="006A64E8">
        <w:rPr>
          <w:sz w:val="20"/>
        </w:rPr>
        <w:t>period</w:t>
      </w:r>
      <w:r w:rsidR="00AB48B7">
        <w:rPr>
          <w:sz w:val="20"/>
        </w:rPr>
        <w:t xml:space="preserve"> ended </w:t>
      </w:r>
      <w:r w:rsidR="006A64E8">
        <w:rPr>
          <w:sz w:val="20"/>
        </w:rPr>
        <w:t>June 30</w:t>
      </w:r>
      <w:r w:rsidR="00AB48B7">
        <w:rPr>
          <w:sz w:val="20"/>
        </w:rPr>
        <w:t>, 20</w:t>
      </w:r>
      <w:r w:rsidR="008F4B5B">
        <w:rPr>
          <w:sz w:val="20"/>
        </w:rPr>
        <w:t>20</w:t>
      </w:r>
      <w:r w:rsidR="00AB48B7">
        <w:rPr>
          <w:sz w:val="20"/>
        </w:rPr>
        <w:t xml:space="preserve"> </w:t>
      </w:r>
      <w:r w:rsidRPr="00F35544">
        <w:rPr>
          <w:sz w:val="20"/>
        </w:rPr>
        <w:t>was $</w:t>
      </w:r>
      <w:r w:rsidR="00F43399">
        <w:rPr>
          <w:sz w:val="20"/>
        </w:rPr>
        <w:t xml:space="preserve">50,050 </w:t>
      </w:r>
      <w:r w:rsidRPr="00F35544">
        <w:rPr>
          <w:sz w:val="20"/>
        </w:rPr>
        <w:t xml:space="preserve">as compared to </w:t>
      </w:r>
      <w:r w:rsidR="00F43399">
        <w:rPr>
          <w:sz w:val="20"/>
        </w:rPr>
        <w:t>$Nil</w:t>
      </w:r>
      <w:r w:rsidR="008F4B5B" w:rsidRPr="00F35544">
        <w:rPr>
          <w:sz w:val="20"/>
        </w:rPr>
        <w:t xml:space="preserve"> </w:t>
      </w:r>
      <w:r w:rsidR="00850B93" w:rsidRPr="00F35544">
        <w:rPr>
          <w:sz w:val="20"/>
        </w:rPr>
        <w:t>in</w:t>
      </w:r>
      <w:r w:rsidRPr="00F35544">
        <w:rPr>
          <w:sz w:val="20"/>
        </w:rPr>
        <w:t xml:space="preserve"> the prior </w:t>
      </w:r>
      <w:r w:rsidR="00A72E4E">
        <w:rPr>
          <w:sz w:val="20"/>
        </w:rPr>
        <w:t>period</w:t>
      </w:r>
      <w:r w:rsidR="00FD58D1">
        <w:rPr>
          <w:sz w:val="20"/>
        </w:rPr>
        <w:t xml:space="preserve"> which saw issuance of large amount of common shares. </w:t>
      </w:r>
    </w:p>
    <w:p w14:paraId="7B9A2BE2" w14:textId="40AB70E5" w:rsidR="00FA06A6" w:rsidRDefault="00FA06A6" w:rsidP="0047736E">
      <w:pPr>
        <w:jc w:val="both"/>
        <w:rPr>
          <w:b/>
          <w:caps/>
          <w:sz w:val="20"/>
        </w:rPr>
      </w:pPr>
    </w:p>
    <w:p w14:paraId="188A3E94" w14:textId="2F94D41D" w:rsidR="000928F5" w:rsidRPr="00F35544" w:rsidRDefault="000928F5" w:rsidP="0047736E">
      <w:pPr>
        <w:jc w:val="both"/>
        <w:rPr>
          <w:b/>
          <w:caps/>
          <w:sz w:val="20"/>
        </w:rPr>
      </w:pPr>
      <w:r w:rsidRPr="00F35544">
        <w:rPr>
          <w:b/>
          <w:caps/>
          <w:sz w:val="20"/>
        </w:rPr>
        <w:t>TRANSACTIONS WITH RELATED PARTIES</w:t>
      </w:r>
    </w:p>
    <w:p w14:paraId="0A8F60A7" w14:textId="77777777" w:rsidR="0047736E" w:rsidRPr="00F35544" w:rsidRDefault="0047736E" w:rsidP="0047736E">
      <w:pPr>
        <w:jc w:val="both"/>
        <w:rPr>
          <w:b/>
          <w:caps/>
          <w:sz w:val="20"/>
        </w:rPr>
      </w:pPr>
    </w:p>
    <w:p w14:paraId="397B9294" w14:textId="77777777" w:rsidR="006C34B3" w:rsidRPr="00F35544" w:rsidRDefault="006C34B3" w:rsidP="006C34B3">
      <w:pPr>
        <w:widowControl/>
        <w:autoSpaceDE w:val="0"/>
        <w:autoSpaceDN w:val="0"/>
        <w:adjustRightInd w:val="0"/>
        <w:jc w:val="both"/>
        <w:rPr>
          <w:sz w:val="20"/>
        </w:rPr>
      </w:pPr>
      <w:r w:rsidRPr="00F35544">
        <w:rPr>
          <w:sz w:val="20"/>
        </w:rPr>
        <w:t>The Directors and Executive Officers of the Company are as follows:</w:t>
      </w:r>
    </w:p>
    <w:p w14:paraId="54B2FC2D" w14:textId="77777777" w:rsidR="00AB4145" w:rsidRPr="00F35544" w:rsidRDefault="00AB4145" w:rsidP="00520976">
      <w:pPr>
        <w:jc w:val="both"/>
        <w:rPr>
          <w:sz w:val="20"/>
        </w:rPr>
      </w:pPr>
    </w:p>
    <w:p w14:paraId="71811DF7" w14:textId="77777777" w:rsidR="00BD1E4E" w:rsidRPr="00F35544" w:rsidRDefault="00BD1E4E" w:rsidP="00BD1E4E">
      <w:pPr>
        <w:jc w:val="both"/>
        <w:rPr>
          <w:sz w:val="20"/>
        </w:rPr>
      </w:pPr>
      <w:r w:rsidRPr="00F35544">
        <w:rPr>
          <w:sz w:val="20"/>
        </w:rPr>
        <w:t>Theo van der Linde</w:t>
      </w:r>
      <w:r w:rsidRPr="00F35544">
        <w:rPr>
          <w:sz w:val="20"/>
        </w:rPr>
        <w:tab/>
        <w:t>Director and President</w:t>
      </w:r>
    </w:p>
    <w:p w14:paraId="016781D9" w14:textId="77777777" w:rsidR="00AB4145" w:rsidRPr="00F35544" w:rsidRDefault="00AB4145" w:rsidP="00AB4145">
      <w:pPr>
        <w:jc w:val="both"/>
        <w:rPr>
          <w:sz w:val="20"/>
        </w:rPr>
      </w:pPr>
      <w:r w:rsidRPr="00F35544">
        <w:rPr>
          <w:sz w:val="20"/>
        </w:rPr>
        <w:t>Rega</w:t>
      </w:r>
      <w:r w:rsidR="008B3A8B" w:rsidRPr="00F35544">
        <w:rPr>
          <w:sz w:val="20"/>
        </w:rPr>
        <w:t>n Isenor</w:t>
      </w:r>
      <w:r w:rsidR="008B3A8B" w:rsidRPr="00F35544">
        <w:rPr>
          <w:sz w:val="20"/>
        </w:rPr>
        <w:tab/>
      </w:r>
      <w:r w:rsidR="008B3A8B" w:rsidRPr="00F35544">
        <w:rPr>
          <w:sz w:val="20"/>
        </w:rPr>
        <w:tab/>
      </w:r>
      <w:r w:rsidRPr="00F35544">
        <w:rPr>
          <w:sz w:val="20"/>
        </w:rPr>
        <w:t>Chief Executive Officer</w:t>
      </w:r>
    </w:p>
    <w:p w14:paraId="7AED11B5" w14:textId="77777777" w:rsidR="00520976" w:rsidRPr="00F35544" w:rsidRDefault="00AB4145" w:rsidP="00520976">
      <w:pPr>
        <w:jc w:val="both"/>
        <w:rPr>
          <w:sz w:val="20"/>
        </w:rPr>
      </w:pPr>
      <w:r w:rsidRPr="00F35544">
        <w:rPr>
          <w:sz w:val="20"/>
        </w:rPr>
        <w:t>Peter Nguyen</w:t>
      </w:r>
      <w:r w:rsidR="00520976" w:rsidRPr="00F35544">
        <w:rPr>
          <w:sz w:val="20"/>
        </w:rPr>
        <w:tab/>
      </w:r>
      <w:r w:rsidR="00520976" w:rsidRPr="00F35544">
        <w:rPr>
          <w:sz w:val="20"/>
        </w:rPr>
        <w:tab/>
        <w:t>Chief Financial Officer</w:t>
      </w:r>
    </w:p>
    <w:p w14:paraId="73CD4F94" w14:textId="77777777" w:rsidR="00520976" w:rsidRPr="00F35544" w:rsidRDefault="00520976" w:rsidP="00520976">
      <w:pPr>
        <w:jc w:val="both"/>
        <w:rPr>
          <w:sz w:val="20"/>
        </w:rPr>
      </w:pPr>
      <w:r w:rsidRPr="00F35544">
        <w:rPr>
          <w:sz w:val="20"/>
        </w:rPr>
        <w:t>Ste</w:t>
      </w:r>
      <w:r w:rsidR="004275B6" w:rsidRPr="00F35544">
        <w:rPr>
          <w:sz w:val="20"/>
        </w:rPr>
        <w:t>phen</w:t>
      </w:r>
      <w:r w:rsidRPr="00F35544">
        <w:rPr>
          <w:sz w:val="20"/>
        </w:rPr>
        <w:t xml:space="preserve"> Stine</w:t>
      </w:r>
      <w:r w:rsidRPr="00F35544">
        <w:rPr>
          <w:sz w:val="20"/>
        </w:rPr>
        <w:tab/>
      </w:r>
      <w:r w:rsidRPr="00F35544">
        <w:rPr>
          <w:sz w:val="20"/>
        </w:rPr>
        <w:tab/>
        <w:t>Director</w:t>
      </w:r>
    </w:p>
    <w:p w14:paraId="2672CBB1" w14:textId="77777777" w:rsidR="00520976" w:rsidRPr="00F35544" w:rsidRDefault="00520976" w:rsidP="00520976">
      <w:pPr>
        <w:jc w:val="both"/>
        <w:rPr>
          <w:sz w:val="20"/>
        </w:rPr>
      </w:pPr>
      <w:r w:rsidRPr="00F35544">
        <w:rPr>
          <w:sz w:val="20"/>
        </w:rPr>
        <w:t>Fred Tejada</w:t>
      </w:r>
      <w:r w:rsidRPr="00F35544">
        <w:rPr>
          <w:sz w:val="20"/>
        </w:rPr>
        <w:tab/>
      </w:r>
      <w:r w:rsidRPr="00F35544">
        <w:rPr>
          <w:sz w:val="20"/>
        </w:rPr>
        <w:tab/>
        <w:t>Director</w:t>
      </w:r>
    </w:p>
    <w:p w14:paraId="1CFD0092" w14:textId="77777777" w:rsidR="006C34B3" w:rsidRPr="00F35544" w:rsidRDefault="006C34B3" w:rsidP="0047736E">
      <w:pPr>
        <w:jc w:val="both"/>
        <w:rPr>
          <w:b/>
          <w:caps/>
          <w:sz w:val="20"/>
        </w:rPr>
      </w:pPr>
    </w:p>
    <w:p w14:paraId="310BAE84" w14:textId="77777777" w:rsidR="00427F67" w:rsidRPr="00F35544" w:rsidRDefault="00A97F80" w:rsidP="0047736E">
      <w:pPr>
        <w:widowControl/>
        <w:autoSpaceDE w:val="0"/>
        <w:autoSpaceDN w:val="0"/>
        <w:adjustRightInd w:val="0"/>
        <w:jc w:val="both"/>
        <w:rPr>
          <w:sz w:val="20"/>
        </w:rPr>
      </w:pPr>
      <w:r w:rsidRPr="00F35544">
        <w:rPr>
          <w:sz w:val="20"/>
        </w:rPr>
        <w:t xml:space="preserve">The Company incurred the following related party transactions, with associated persons or corporations, which were undertaken in the normal course of operations and were measured at </w:t>
      </w:r>
      <w:r w:rsidR="00501B4B" w:rsidRPr="00F35544">
        <w:rPr>
          <w:sz w:val="20"/>
        </w:rPr>
        <w:t>the exchange amount as follows:</w:t>
      </w:r>
    </w:p>
    <w:p w14:paraId="707ECF60" w14:textId="447B676F" w:rsidR="00FA06A6" w:rsidRPr="00F35544" w:rsidRDefault="00FA06A6" w:rsidP="00FA06A6">
      <w:pPr>
        <w:jc w:val="both"/>
        <w:rPr>
          <w:b/>
          <w:caps/>
          <w:sz w:val="20"/>
        </w:rPr>
      </w:pPr>
      <w:r>
        <w:rPr>
          <w:sz w:val="20"/>
        </w:rPr>
        <w:br w:type="page"/>
      </w:r>
      <w:r w:rsidRPr="00F35544">
        <w:rPr>
          <w:b/>
          <w:caps/>
          <w:sz w:val="20"/>
        </w:rPr>
        <w:lastRenderedPageBreak/>
        <w:t>TRANSACTIONS WITH RELATED PARTIES</w:t>
      </w:r>
      <w:r>
        <w:rPr>
          <w:b/>
          <w:caps/>
          <w:sz w:val="20"/>
        </w:rPr>
        <w:t xml:space="preserve"> (CONTINUED)</w:t>
      </w:r>
    </w:p>
    <w:p w14:paraId="2832D0C0" w14:textId="7759F4D7" w:rsidR="009C4793" w:rsidRPr="00F35544" w:rsidRDefault="009C4793" w:rsidP="006B0704">
      <w:pPr>
        <w:widowControl/>
        <w:autoSpaceDE w:val="0"/>
        <w:autoSpaceDN w:val="0"/>
        <w:adjustRightInd w:val="0"/>
        <w:jc w:val="both"/>
        <w:rPr>
          <w:sz w:val="20"/>
        </w:rPr>
      </w:pPr>
    </w:p>
    <w:p w14:paraId="407F2493" w14:textId="77777777" w:rsidR="00D661E6" w:rsidRPr="00FD58D1" w:rsidRDefault="00427F67" w:rsidP="00D661E6">
      <w:pPr>
        <w:widowControl/>
        <w:numPr>
          <w:ilvl w:val="0"/>
          <w:numId w:val="4"/>
        </w:numPr>
        <w:autoSpaceDE w:val="0"/>
        <w:autoSpaceDN w:val="0"/>
        <w:adjustRightInd w:val="0"/>
        <w:ind w:left="720" w:hanging="297"/>
        <w:jc w:val="both"/>
        <w:rPr>
          <w:sz w:val="20"/>
        </w:rPr>
      </w:pPr>
      <w:r w:rsidRPr="00F35544">
        <w:rPr>
          <w:sz w:val="20"/>
        </w:rPr>
        <w:t>Key management includes directors, executive officers and officers which constitutes the management team. The Company paid or accrued compensation in form of consulting fees to companies controlled by directors, executive officers and officers and share based compensation directly to directors, executive officers and officers as follows:</w:t>
      </w:r>
    </w:p>
    <w:p w14:paraId="68AAF889" w14:textId="77777777" w:rsidR="009C4793" w:rsidRDefault="009C4793" w:rsidP="009C4793">
      <w:pPr>
        <w:widowControl/>
        <w:autoSpaceDE w:val="0"/>
        <w:autoSpaceDN w:val="0"/>
        <w:adjustRightInd w:val="0"/>
        <w:ind w:left="720"/>
        <w:jc w:val="both"/>
        <w:rPr>
          <w:sz w:val="20"/>
        </w:rPr>
      </w:pPr>
    </w:p>
    <w:tbl>
      <w:tblPr>
        <w:tblW w:w="8550" w:type="dxa"/>
        <w:tblInd w:w="810" w:type="dxa"/>
        <w:tblLook w:val="04A0" w:firstRow="1" w:lastRow="0" w:firstColumn="1" w:lastColumn="0" w:noHBand="0" w:noVBand="1"/>
      </w:tblPr>
      <w:tblGrid>
        <w:gridCol w:w="5342"/>
        <w:gridCol w:w="1930"/>
        <w:gridCol w:w="1279"/>
      </w:tblGrid>
      <w:tr w:rsidR="0047106A" w:rsidRPr="00C41E5B" w14:paraId="512DD0B8" w14:textId="77777777" w:rsidTr="00636AD3">
        <w:trPr>
          <w:trHeight w:val="216"/>
        </w:trPr>
        <w:tc>
          <w:tcPr>
            <w:tcW w:w="5342" w:type="dxa"/>
            <w:tcBorders>
              <w:top w:val="double" w:sz="4" w:space="0" w:color="auto"/>
              <w:left w:val="nil"/>
              <w:bottom w:val="single" w:sz="4" w:space="0" w:color="auto"/>
              <w:right w:val="nil"/>
            </w:tcBorders>
            <w:noWrap/>
            <w:vAlign w:val="bottom"/>
            <w:hideMark/>
          </w:tcPr>
          <w:p w14:paraId="6A139096" w14:textId="77777777" w:rsidR="0047106A" w:rsidRPr="00C41E5B" w:rsidRDefault="0047106A" w:rsidP="00786D71">
            <w:pPr>
              <w:rPr>
                <w:sz w:val="20"/>
              </w:rPr>
            </w:pPr>
            <w:r w:rsidRPr="00C41E5B">
              <w:rPr>
                <w:sz w:val="20"/>
              </w:rPr>
              <w:t xml:space="preserve">For the </w:t>
            </w:r>
            <w:r>
              <w:rPr>
                <w:sz w:val="20"/>
              </w:rPr>
              <w:t>three months period</w:t>
            </w:r>
            <w:r w:rsidRPr="00C41E5B">
              <w:rPr>
                <w:sz w:val="20"/>
              </w:rPr>
              <w:t xml:space="preserve"> ended</w:t>
            </w:r>
          </w:p>
        </w:tc>
        <w:tc>
          <w:tcPr>
            <w:tcW w:w="1930" w:type="dxa"/>
            <w:tcBorders>
              <w:top w:val="double" w:sz="4" w:space="0" w:color="auto"/>
              <w:left w:val="nil"/>
              <w:bottom w:val="single" w:sz="4" w:space="0" w:color="auto"/>
              <w:right w:val="nil"/>
            </w:tcBorders>
            <w:shd w:val="clear" w:color="auto" w:fill="auto"/>
            <w:vAlign w:val="bottom"/>
            <w:hideMark/>
          </w:tcPr>
          <w:p w14:paraId="0B9EB9C4" w14:textId="77777777" w:rsidR="0047106A" w:rsidRPr="006E5E57" w:rsidRDefault="0047106A" w:rsidP="00786D71">
            <w:pPr>
              <w:ind w:left="-108"/>
              <w:jc w:val="right"/>
              <w:rPr>
                <w:b/>
                <w:bCs/>
                <w:sz w:val="20"/>
              </w:rPr>
            </w:pPr>
            <w:r w:rsidRPr="006E5E57">
              <w:rPr>
                <w:b/>
                <w:bCs/>
                <w:sz w:val="20"/>
              </w:rPr>
              <w:t xml:space="preserve">June 30, </w:t>
            </w:r>
          </w:p>
          <w:p w14:paraId="63493D90" w14:textId="77777777" w:rsidR="0047106A" w:rsidRPr="006E5E57" w:rsidRDefault="0047106A" w:rsidP="00786D71">
            <w:pPr>
              <w:ind w:left="-108"/>
              <w:jc w:val="right"/>
              <w:rPr>
                <w:b/>
                <w:bCs/>
                <w:sz w:val="20"/>
              </w:rPr>
            </w:pPr>
            <w:r w:rsidRPr="006E5E57">
              <w:rPr>
                <w:b/>
                <w:bCs/>
                <w:sz w:val="20"/>
              </w:rPr>
              <w:t>2020</w:t>
            </w:r>
          </w:p>
          <w:p w14:paraId="0BCBA158" w14:textId="77777777" w:rsidR="0047106A" w:rsidRPr="006E5E57" w:rsidRDefault="0047106A" w:rsidP="00786D71">
            <w:pPr>
              <w:ind w:left="-108"/>
              <w:jc w:val="right"/>
              <w:rPr>
                <w:b/>
                <w:bCs/>
                <w:sz w:val="20"/>
              </w:rPr>
            </w:pPr>
            <w:r w:rsidRPr="006E5E57">
              <w:rPr>
                <w:b/>
                <w:bCs/>
                <w:sz w:val="20"/>
              </w:rPr>
              <w:t xml:space="preserve">$ </w:t>
            </w:r>
          </w:p>
        </w:tc>
        <w:tc>
          <w:tcPr>
            <w:tcW w:w="1278" w:type="dxa"/>
            <w:tcBorders>
              <w:top w:val="double" w:sz="4" w:space="0" w:color="auto"/>
              <w:left w:val="nil"/>
              <w:bottom w:val="single" w:sz="4" w:space="0" w:color="auto"/>
              <w:right w:val="nil"/>
            </w:tcBorders>
            <w:vAlign w:val="bottom"/>
            <w:hideMark/>
          </w:tcPr>
          <w:p w14:paraId="1DF97341" w14:textId="77777777" w:rsidR="0047106A" w:rsidRPr="00C41E5B" w:rsidRDefault="0047106A" w:rsidP="00786D71">
            <w:pPr>
              <w:ind w:left="-108"/>
              <w:jc w:val="right"/>
              <w:rPr>
                <w:sz w:val="20"/>
              </w:rPr>
            </w:pPr>
            <w:r>
              <w:rPr>
                <w:sz w:val="20"/>
              </w:rPr>
              <w:t>June 30</w:t>
            </w:r>
            <w:r w:rsidRPr="00C41E5B">
              <w:rPr>
                <w:sz w:val="20"/>
              </w:rPr>
              <w:t xml:space="preserve">, </w:t>
            </w:r>
          </w:p>
          <w:p w14:paraId="05C746A1" w14:textId="77777777" w:rsidR="0047106A" w:rsidRPr="00C41E5B" w:rsidRDefault="0047106A" w:rsidP="00786D71">
            <w:pPr>
              <w:ind w:left="-108"/>
              <w:jc w:val="right"/>
              <w:rPr>
                <w:sz w:val="20"/>
              </w:rPr>
            </w:pPr>
            <w:r w:rsidRPr="00C41E5B">
              <w:rPr>
                <w:sz w:val="20"/>
              </w:rPr>
              <w:t>2019</w:t>
            </w:r>
          </w:p>
          <w:p w14:paraId="48ED42F0" w14:textId="77777777" w:rsidR="0047106A" w:rsidRPr="00C41E5B" w:rsidRDefault="0047106A" w:rsidP="00786D71">
            <w:pPr>
              <w:jc w:val="right"/>
              <w:rPr>
                <w:sz w:val="20"/>
              </w:rPr>
            </w:pPr>
            <w:r w:rsidRPr="00C41E5B">
              <w:rPr>
                <w:sz w:val="20"/>
              </w:rPr>
              <w:t xml:space="preserve">$ </w:t>
            </w:r>
          </w:p>
        </w:tc>
      </w:tr>
      <w:tr w:rsidR="0047106A" w:rsidRPr="00C41E5B" w14:paraId="5786D075" w14:textId="77777777" w:rsidTr="00636AD3">
        <w:trPr>
          <w:trHeight w:val="216"/>
        </w:trPr>
        <w:tc>
          <w:tcPr>
            <w:tcW w:w="5342" w:type="dxa"/>
            <w:tcBorders>
              <w:top w:val="single" w:sz="4" w:space="0" w:color="auto"/>
              <w:left w:val="nil"/>
              <w:right w:val="nil"/>
            </w:tcBorders>
            <w:noWrap/>
            <w:vAlign w:val="bottom"/>
          </w:tcPr>
          <w:p w14:paraId="65AD1362" w14:textId="77777777" w:rsidR="0047106A" w:rsidRPr="00C41E5B" w:rsidRDefault="0047106A" w:rsidP="00786D71">
            <w:pPr>
              <w:rPr>
                <w:sz w:val="20"/>
              </w:rPr>
            </w:pPr>
          </w:p>
        </w:tc>
        <w:tc>
          <w:tcPr>
            <w:tcW w:w="1930" w:type="dxa"/>
            <w:tcBorders>
              <w:top w:val="single" w:sz="4" w:space="0" w:color="auto"/>
              <w:left w:val="nil"/>
              <w:right w:val="nil"/>
            </w:tcBorders>
            <w:shd w:val="clear" w:color="auto" w:fill="auto"/>
            <w:noWrap/>
            <w:vAlign w:val="bottom"/>
          </w:tcPr>
          <w:p w14:paraId="3BCD9010" w14:textId="77777777" w:rsidR="0047106A" w:rsidRPr="006E5E57" w:rsidRDefault="0047106A" w:rsidP="00786D71">
            <w:pPr>
              <w:tabs>
                <w:tab w:val="decimal" w:pos="1062"/>
              </w:tabs>
              <w:jc w:val="right"/>
              <w:rPr>
                <w:b/>
                <w:sz w:val="20"/>
              </w:rPr>
            </w:pPr>
          </w:p>
        </w:tc>
        <w:tc>
          <w:tcPr>
            <w:tcW w:w="1278" w:type="dxa"/>
            <w:tcBorders>
              <w:top w:val="single" w:sz="4" w:space="0" w:color="auto"/>
              <w:left w:val="nil"/>
              <w:right w:val="nil"/>
            </w:tcBorders>
            <w:shd w:val="clear" w:color="auto" w:fill="auto"/>
            <w:noWrap/>
            <w:vAlign w:val="bottom"/>
          </w:tcPr>
          <w:p w14:paraId="581C7A25" w14:textId="77777777" w:rsidR="0047106A" w:rsidRPr="00C41E5B" w:rsidDel="00EC2F2E" w:rsidRDefault="0047106A" w:rsidP="00786D71">
            <w:pPr>
              <w:tabs>
                <w:tab w:val="decimal" w:pos="1062"/>
              </w:tabs>
              <w:jc w:val="right"/>
              <w:rPr>
                <w:sz w:val="20"/>
              </w:rPr>
            </w:pPr>
          </w:p>
        </w:tc>
      </w:tr>
      <w:tr w:rsidR="00636AD3" w:rsidRPr="00C41E5B" w14:paraId="49289476" w14:textId="77777777" w:rsidTr="00636AD3">
        <w:trPr>
          <w:trHeight w:val="216"/>
        </w:trPr>
        <w:tc>
          <w:tcPr>
            <w:tcW w:w="5342" w:type="dxa"/>
            <w:tcBorders>
              <w:left w:val="nil"/>
              <w:right w:val="nil"/>
            </w:tcBorders>
            <w:noWrap/>
            <w:vAlign w:val="bottom"/>
            <w:hideMark/>
          </w:tcPr>
          <w:p w14:paraId="69F7EB5F" w14:textId="480FEA16" w:rsidR="00636AD3" w:rsidRPr="00C41E5B" w:rsidRDefault="00636AD3" w:rsidP="00636AD3">
            <w:pPr>
              <w:rPr>
                <w:sz w:val="20"/>
              </w:rPr>
            </w:pPr>
            <w:r w:rsidRPr="00C41E5B">
              <w:rPr>
                <w:sz w:val="20"/>
              </w:rPr>
              <w:t xml:space="preserve">Consulting fees accrued or paid to a company controlled by the President </w:t>
            </w:r>
          </w:p>
        </w:tc>
        <w:tc>
          <w:tcPr>
            <w:tcW w:w="1930" w:type="dxa"/>
            <w:tcBorders>
              <w:left w:val="nil"/>
              <w:right w:val="nil"/>
            </w:tcBorders>
            <w:shd w:val="clear" w:color="auto" w:fill="auto"/>
            <w:noWrap/>
            <w:vAlign w:val="bottom"/>
          </w:tcPr>
          <w:p w14:paraId="670D97AA" w14:textId="2B7EBF56" w:rsidR="00636AD3" w:rsidRPr="00105A43" w:rsidRDefault="00636AD3" w:rsidP="00636AD3">
            <w:pPr>
              <w:tabs>
                <w:tab w:val="decimal" w:pos="1062"/>
              </w:tabs>
              <w:jc w:val="right"/>
              <w:rPr>
                <w:b/>
                <w:bCs/>
                <w:sz w:val="20"/>
              </w:rPr>
            </w:pPr>
            <w:r>
              <w:rPr>
                <w:b/>
                <w:bCs/>
                <w:sz w:val="20"/>
              </w:rPr>
              <w:t>18,000</w:t>
            </w:r>
          </w:p>
        </w:tc>
        <w:tc>
          <w:tcPr>
            <w:tcW w:w="1278" w:type="dxa"/>
            <w:tcBorders>
              <w:left w:val="nil"/>
              <w:right w:val="nil"/>
            </w:tcBorders>
            <w:shd w:val="clear" w:color="auto" w:fill="auto"/>
            <w:noWrap/>
            <w:vAlign w:val="bottom"/>
          </w:tcPr>
          <w:p w14:paraId="0F805424" w14:textId="77777777" w:rsidR="00636AD3" w:rsidRPr="00C41E5B" w:rsidRDefault="00636AD3" w:rsidP="00636AD3">
            <w:pPr>
              <w:tabs>
                <w:tab w:val="decimal" w:pos="1062"/>
              </w:tabs>
              <w:jc w:val="right"/>
              <w:rPr>
                <w:sz w:val="20"/>
              </w:rPr>
            </w:pPr>
            <w:r>
              <w:rPr>
                <w:sz w:val="20"/>
              </w:rPr>
              <w:t>18,000</w:t>
            </w:r>
          </w:p>
        </w:tc>
      </w:tr>
      <w:tr w:rsidR="00636AD3" w:rsidRPr="00C41E5B" w14:paraId="0E5E64C8" w14:textId="77777777" w:rsidTr="00636AD3">
        <w:trPr>
          <w:trHeight w:val="216"/>
        </w:trPr>
        <w:tc>
          <w:tcPr>
            <w:tcW w:w="5342" w:type="dxa"/>
            <w:tcBorders>
              <w:left w:val="nil"/>
              <w:right w:val="nil"/>
            </w:tcBorders>
            <w:shd w:val="clear" w:color="auto" w:fill="auto"/>
            <w:noWrap/>
            <w:vAlign w:val="bottom"/>
          </w:tcPr>
          <w:p w14:paraId="34D4533A" w14:textId="77777777" w:rsidR="00636AD3" w:rsidRPr="00C41E5B" w:rsidRDefault="00636AD3" w:rsidP="00636AD3">
            <w:pPr>
              <w:rPr>
                <w:sz w:val="20"/>
              </w:rPr>
            </w:pPr>
            <w:r w:rsidRPr="00C41E5B">
              <w:rPr>
                <w:sz w:val="20"/>
              </w:rPr>
              <w:t>Consulting fees accrued or paid to a company controlled by the CFO</w:t>
            </w:r>
          </w:p>
        </w:tc>
        <w:tc>
          <w:tcPr>
            <w:tcW w:w="1930" w:type="dxa"/>
            <w:tcBorders>
              <w:left w:val="nil"/>
              <w:right w:val="nil"/>
            </w:tcBorders>
            <w:shd w:val="clear" w:color="auto" w:fill="auto"/>
            <w:noWrap/>
            <w:vAlign w:val="bottom"/>
          </w:tcPr>
          <w:p w14:paraId="5089A22C" w14:textId="387F1D89" w:rsidR="00636AD3" w:rsidRPr="00105A43" w:rsidRDefault="00636AD3" w:rsidP="00636AD3">
            <w:pPr>
              <w:tabs>
                <w:tab w:val="decimal" w:pos="1062"/>
              </w:tabs>
              <w:jc w:val="right"/>
              <w:rPr>
                <w:b/>
                <w:bCs/>
                <w:sz w:val="20"/>
              </w:rPr>
            </w:pPr>
            <w:r>
              <w:rPr>
                <w:b/>
                <w:bCs/>
                <w:sz w:val="20"/>
              </w:rPr>
              <w:t>15,000</w:t>
            </w:r>
          </w:p>
        </w:tc>
        <w:tc>
          <w:tcPr>
            <w:tcW w:w="1278" w:type="dxa"/>
            <w:tcBorders>
              <w:left w:val="nil"/>
              <w:right w:val="nil"/>
            </w:tcBorders>
            <w:shd w:val="clear" w:color="auto" w:fill="auto"/>
            <w:noWrap/>
            <w:vAlign w:val="bottom"/>
          </w:tcPr>
          <w:p w14:paraId="4B1F6479" w14:textId="77777777" w:rsidR="00636AD3" w:rsidRPr="00C41E5B" w:rsidRDefault="00636AD3" w:rsidP="00636AD3">
            <w:pPr>
              <w:tabs>
                <w:tab w:val="decimal" w:pos="1062"/>
              </w:tabs>
              <w:jc w:val="right"/>
              <w:rPr>
                <w:sz w:val="20"/>
              </w:rPr>
            </w:pPr>
            <w:r>
              <w:rPr>
                <w:sz w:val="20"/>
              </w:rPr>
              <w:t>1</w:t>
            </w:r>
            <w:r w:rsidRPr="00C41E5B">
              <w:rPr>
                <w:sz w:val="20"/>
              </w:rPr>
              <w:t>5,000</w:t>
            </w:r>
          </w:p>
        </w:tc>
      </w:tr>
      <w:tr w:rsidR="00636AD3" w:rsidRPr="00C41E5B" w14:paraId="0CDA1791" w14:textId="77777777" w:rsidTr="00636AD3">
        <w:trPr>
          <w:trHeight w:val="216"/>
        </w:trPr>
        <w:tc>
          <w:tcPr>
            <w:tcW w:w="5342" w:type="dxa"/>
            <w:tcBorders>
              <w:left w:val="nil"/>
              <w:right w:val="nil"/>
            </w:tcBorders>
            <w:noWrap/>
            <w:vAlign w:val="bottom"/>
          </w:tcPr>
          <w:p w14:paraId="564CF292" w14:textId="77777777" w:rsidR="00636AD3" w:rsidRPr="00C41E5B" w:rsidRDefault="00636AD3" w:rsidP="00636AD3">
            <w:pPr>
              <w:rPr>
                <w:sz w:val="20"/>
              </w:rPr>
            </w:pPr>
            <w:r w:rsidRPr="00C41E5B">
              <w:rPr>
                <w:sz w:val="20"/>
              </w:rPr>
              <w:t>Consulting fees accrued or paid to a company controlled by the CEO</w:t>
            </w:r>
          </w:p>
        </w:tc>
        <w:tc>
          <w:tcPr>
            <w:tcW w:w="1930" w:type="dxa"/>
            <w:tcBorders>
              <w:left w:val="nil"/>
              <w:right w:val="nil"/>
            </w:tcBorders>
            <w:shd w:val="clear" w:color="auto" w:fill="auto"/>
            <w:noWrap/>
            <w:vAlign w:val="bottom"/>
          </w:tcPr>
          <w:p w14:paraId="6102A16E" w14:textId="7F9CDBB2" w:rsidR="00636AD3" w:rsidRPr="00105A43" w:rsidRDefault="00636AD3" w:rsidP="00636AD3">
            <w:pPr>
              <w:tabs>
                <w:tab w:val="decimal" w:pos="1062"/>
              </w:tabs>
              <w:jc w:val="right"/>
              <w:rPr>
                <w:b/>
                <w:bCs/>
                <w:sz w:val="20"/>
              </w:rPr>
            </w:pPr>
            <w:r w:rsidRPr="00105A43">
              <w:rPr>
                <w:b/>
                <w:bCs/>
                <w:sz w:val="20"/>
              </w:rPr>
              <w:t>39,360</w:t>
            </w:r>
          </w:p>
        </w:tc>
        <w:tc>
          <w:tcPr>
            <w:tcW w:w="1278" w:type="dxa"/>
            <w:tcBorders>
              <w:left w:val="nil"/>
              <w:right w:val="nil"/>
            </w:tcBorders>
            <w:shd w:val="clear" w:color="auto" w:fill="auto"/>
            <w:noWrap/>
            <w:vAlign w:val="bottom"/>
          </w:tcPr>
          <w:p w14:paraId="3CF7E35C" w14:textId="77777777" w:rsidR="00636AD3" w:rsidRPr="00C41E5B" w:rsidDel="00EC2F2E" w:rsidRDefault="00636AD3" w:rsidP="00636AD3">
            <w:pPr>
              <w:tabs>
                <w:tab w:val="decimal" w:pos="1062"/>
              </w:tabs>
              <w:jc w:val="right"/>
              <w:rPr>
                <w:sz w:val="20"/>
              </w:rPr>
            </w:pPr>
            <w:r>
              <w:rPr>
                <w:sz w:val="20"/>
              </w:rPr>
              <w:t>39,975</w:t>
            </w:r>
          </w:p>
        </w:tc>
      </w:tr>
      <w:tr w:rsidR="00636AD3" w:rsidRPr="00C41E5B" w14:paraId="22366B1E" w14:textId="77777777" w:rsidTr="00636AD3">
        <w:trPr>
          <w:trHeight w:val="288"/>
        </w:trPr>
        <w:tc>
          <w:tcPr>
            <w:tcW w:w="5342" w:type="dxa"/>
            <w:tcBorders>
              <w:top w:val="single" w:sz="4" w:space="0" w:color="auto"/>
              <w:left w:val="nil"/>
              <w:bottom w:val="double" w:sz="4" w:space="0" w:color="auto"/>
              <w:right w:val="nil"/>
            </w:tcBorders>
            <w:noWrap/>
            <w:vAlign w:val="bottom"/>
          </w:tcPr>
          <w:p w14:paraId="25C6D2AB" w14:textId="77777777" w:rsidR="00636AD3" w:rsidRPr="00C41E5B" w:rsidRDefault="00636AD3" w:rsidP="00636AD3">
            <w:pPr>
              <w:rPr>
                <w:sz w:val="20"/>
              </w:rPr>
            </w:pPr>
          </w:p>
        </w:tc>
        <w:tc>
          <w:tcPr>
            <w:tcW w:w="1930" w:type="dxa"/>
            <w:tcBorders>
              <w:top w:val="single" w:sz="4" w:space="0" w:color="auto"/>
              <w:left w:val="nil"/>
              <w:bottom w:val="double" w:sz="4" w:space="0" w:color="auto"/>
              <w:right w:val="nil"/>
            </w:tcBorders>
            <w:shd w:val="clear" w:color="auto" w:fill="auto"/>
            <w:noWrap/>
            <w:vAlign w:val="bottom"/>
          </w:tcPr>
          <w:p w14:paraId="578CBE6A" w14:textId="09CC382C" w:rsidR="00636AD3" w:rsidRPr="006E5E57" w:rsidRDefault="00636AD3" w:rsidP="00636AD3">
            <w:pPr>
              <w:tabs>
                <w:tab w:val="decimal" w:pos="1062"/>
              </w:tabs>
              <w:jc w:val="right"/>
              <w:rPr>
                <w:b/>
                <w:sz w:val="20"/>
              </w:rPr>
            </w:pPr>
            <w:r>
              <w:rPr>
                <w:b/>
                <w:sz w:val="20"/>
              </w:rPr>
              <w:t>72,360</w:t>
            </w:r>
          </w:p>
        </w:tc>
        <w:tc>
          <w:tcPr>
            <w:tcW w:w="1278" w:type="dxa"/>
            <w:tcBorders>
              <w:top w:val="single" w:sz="4" w:space="0" w:color="auto"/>
              <w:left w:val="nil"/>
              <w:bottom w:val="double" w:sz="4" w:space="0" w:color="auto"/>
              <w:right w:val="nil"/>
            </w:tcBorders>
            <w:shd w:val="clear" w:color="auto" w:fill="auto"/>
            <w:noWrap/>
            <w:vAlign w:val="bottom"/>
          </w:tcPr>
          <w:p w14:paraId="4D71CF9C" w14:textId="77777777" w:rsidR="00636AD3" w:rsidRPr="00C41E5B" w:rsidRDefault="00636AD3" w:rsidP="00636AD3">
            <w:pPr>
              <w:tabs>
                <w:tab w:val="decimal" w:pos="1062"/>
              </w:tabs>
              <w:jc w:val="right"/>
              <w:rPr>
                <w:sz w:val="20"/>
              </w:rPr>
            </w:pPr>
            <w:r>
              <w:rPr>
                <w:sz w:val="20"/>
              </w:rPr>
              <w:t>72,975</w:t>
            </w:r>
          </w:p>
        </w:tc>
      </w:tr>
    </w:tbl>
    <w:p w14:paraId="6F389B9A" w14:textId="77777777" w:rsidR="0047106A" w:rsidRDefault="0047106A" w:rsidP="0047106A">
      <w:pPr>
        <w:widowControl/>
        <w:ind w:left="783"/>
        <w:jc w:val="both"/>
        <w:rPr>
          <w:sz w:val="20"/>
        </w:rPr>
      </w:pPr>
    </w:p>
    <w:p w14:paraId="2DEE6FF4" w14:textId="7226CDE1" w:rsidR="00F27615" w:rsidRDefault="003B716B" w:rsidP="003B716B">
      <w:pPr>
        <w:widowControl/>
        <w:numPr>
          <w:ilvl w:val="0"/>
          <w:numId w:val="4"/>
        </w:numPr>
        <w:jc w:val="both"/>
        <w:rPr>
          <w:sz w:val="20"/>
        </w:rPr>
      </w:pPr>
      <w:r w:rsidRPr="00982667">
        <w:rPr>
          <w:sz w:val="20"/>
        </w:rPr>
        <w:t xml:space="preserve">As at </w:t>
      </w:r>
      <w:r>
        <w:rPr>
          <w:sz w:val="20"/>
        </w:rPr>
        <w:t>June 30</w:t>
      </w:r>
      <w:r w:rsidRPr="00982667">
        <w:rPr>
          <w:sz w:val="20"/>
        </w:rPr>
        <w:t>, 20</w:t>
      </w:r>
      <w:r>
        <w:rPr>
          <w:sz w:val="20"/>
        </w:rPr>
        <w:t>20</w:t>
      </w:r>
      <w:r w:rsidRPr="00982667">
        <w:rPr>
          <w:sz w:val="20"/>
        </w:rPr>
        <w:t xml:space="preserve">, total amounts payable to directors and companies owned </w:t>
      </w:r>
      <w:r>
        <w:rPr>
          <w:sz w:val="20"/>
        </w:rPr>
        <w:t>by directors</w:t>
      </w:r>
      <w:r w:rsidRPr="00982667">
        <w:rPr>
          <w:sz w:val="20"/>
        </w:rPr>
        <w:t xml:space="preserve"> in </w:t>
      </w:r>
      <w:r>
        <w:rPr>
          <w:sz w:val="20"/>
        </w:rPr>
        <w:t xml:space="preserve">accounts payable and </w:t>
      </w:r>
      <w:r w:rsidRPr="00982667">
        <w:rPr>
          <w:sz w:val="20"/>
        </w:rPr>
        <w:t>accrued liabilities were $</w:t>
      </w:r>
      <w:r>
        <w:rPr>
          <w:sz w:val="20"/>
        </w:rPr>
        <w:t>258,115</w:t>
      </w:r>
      <w:r w:rsidRPr="00982667">
        <w:rPr>
          <w:sz w:val="20"/>
        </w:rPr>
        <w:t xml:space="preserve"> (March 31, 20</w:t>
      </w:r>
      <w:r>
        <w:rPr>
          <w:sz w:val="20"/>
        </w:rPr>
        <w:t>20</w:t>
      </w:r>
      <w:r w:rsidRPr="00982667">
        <w:rPr>
          <w:sz w:val="20"/>
        </w:rPr>
        <w:t xml:space="preserve"> - $</w:t>
      </w:r>
      <w:r>
        <w:rPr>
          <w:sz w:val="20"/>
        </w:rPr>
        <w:t>270,064</w:t>
      </w:r>
      <w:r w:rsidRPr="00982667">
        <w:rPr>
          <w:sz w:val="20"/>
        </w:rPr>
        <w:t>).</w:t>
      </w:r>
    </w:p>
    <w:p w14:paraId="66BB19F7" w14:textId="77777777" w:rsidR="003B716B" w:rsidRPr="00F35544" w:rsidRDefault="003B716B" w:rsidP="00F27615">
      <w:pPr>
        <w:widowControl/>
        <w:ind w:left="783"/>
        <w:jc w:val="both"/>
        <w:rPr>
          <w:sz w:val="20"/>
        </w:rPr>
      </w:pPr>
    </w:p>
    <w:p w14:paraId="2F49B89C" w14:textId="77777777" w:rsidR="0026128C" w:rsidRPr="00F35544" w:rsidRDefault="0026128C" w:rsidP="009C4793">
      <w:pPr>
        <w:pStyle w:val="Normal2B"/>
        <w:widowControl/>
        <w:autoSpaceDE w:val="0"/>
        <w:autoSpaceDN w:val="0"/>
        <w:adjustRightInd w:val="0"/>
        <w:rPr>
          <w:rFonts w:ascii="Times New Roman" w:hAnsi="Times New Roman"/>
          <w:spacing w:val="0"/>
          <w:sz w:val="20"/>
          <w:lang w:val="en-US"/>
        </w:rPr>
      </w:pPr>
      <w:r w:rsidRPr="00F35544">
        <w:rPr>
          <w:rFonts w:ascii="Times New Roman" w:hAnsi="Times New Roman"/>
          <w:spacing w:val="0"/>
          <w:sz w:val="20"/>
          <w:lang w:val="en-US"/>
        </w:rPr>
        <w:t>Financial instruments and risks</w:t>
      </w:r>
    </w:p>
    <w:p w14:paraId="3A3C11C3" w14:textId="77777777" w:rsidR="009C4793" w:rsidRPr="00F35544" w:rsidRDefault="009C4793" w:rsidP="009C4793">
      <w:pPr>
        <w:pStyle w:val="Normal2B"/>
        <w:widowControl/>
        <w:autoSpaceDE w:val="0"/>
        <w:autoSpaceDN w:val="0"/>
        <w:adjustRightInd w:val="0"/>
        <w:rPr>
          <w:rFonts w:ascii="Times New Roman" w:hAnsi="Times New Roman"/>
          <w:spacing w:val="0"/>
          <w:sz w:val="20"/>
          <w:lang w:val="en-US"/>
        </w:rPr>
      </w:pPr>
    </w:p>
    <w:p w14:paraId="2D823E8E" w14:textId="77777777" w:rsidR="0026128C" w:rsidRPr="00F35544" w:rsidRDefault="0026128C" w:rsidP="009C4793">
      <w:pPr>
        <w:jc w:val="both"/>
        <w:rPr>
          <w:sz w:val="20"/>
        </w:rPr>
      </w:pPr>
      <w:r w:rsidRPr="00F35544">
        <w:rPr>
          <w:sz w:val="20"/>
        </w:rPr>
        <w:t>The Company’s financial instruments consist of cash and cash equivalents, receivables, loans payable, contingent consideration and accounts payable and accrued liabilities. The fair value of these financial instruments approximates their carrying values, unless otherwise noted.</w:t>
      </w:r>
    </w:p>
    <w:p w14:paraId="78A6A9D2" w14:textId="77777777" w:rsidR="009C4793" w:rsidRPr="00F35544" w:rsidRDefault="009C4793" w:rsidP="009C4793">
      <w:pPr>
        <w:pStyle w:val="textnotes"/>
        <w:tabs>
          <w:tab w:val="num" w:pos="-1350"/>
        </w:tabs>
        <w:rPr>
          <w:rFonts w:ascii="Times New Roman" w:hAnsi="Times New Roman"/>
        </w:rPr>
      </w:pPr>
    </w:p>
    <w:p w14:paraId="2CCDCE22" w14:textId="77777777" w:rsidR="0026128C" w:rsidRDefault="0026128C" w:rsidP="009C4793">
      <w:pPr>
        <w:pStyle w:val="textnotes"/>
        <w:tabs>
          <w:tab w:val="num" w:pos="-1350"/>
        </w:tabs>
        <w:rPr>
          <w:rFonts w:ascii="Times New Roman" w:hAnsi="Times New Roman"/>
        </w:rPr>
      </w:pPr>
      <w:r w:rsidRPr="00F35544">
        <w:rPr>
          <w:rFonts w:ascii="Times New Roman" w:hAnsi="Times New Roman"/>
        </w:rPr>
        <w:t>The Company’s risk exposures and the impact on the Company’s financial instruments are summarized below:</w:t>
      </w:r>
    </w:p>
    <w:p w14:paraId="6E69B71B" w14:textId="77777777" w:rsidR="00657F5D" w:rsidRDefault="00657F5D" w:rsidP="009C4793">
      <w:pPr>
        <w:widowControl/>
        <w:autoSpaceDE w:val="0"/>
        <w:autoSpaceDN w:val="0"/>
        <w:adjustRightInd w:val="0"/>
        <w:rPr>
          <w:b/>
          <w:bCs/>
          <w:iCs/>
          <w:sz w:val="20"/>
        </w:rPr>
      </w:pPr>
    </w:p>
    <w:p w14:paraId="68A26EF5" w14:textId="77777777" w:rsidR="0026128C" w:rsidRPr="00F35544" w:rsidRDefault="0026128C" w:rsidP="009C4793">
      <w:pPr>
        <w:widowControl/>
        <w:autoSpaceDE w:val="0"/>
        <w:autoSpaceDN w:val="0"/>
        <w:adjustRightInd w:val="0"/>
        <w:rPr>
          <w:b/>
          <w:bCs/>
          <w:iCs/>
          <w:sz w:val="20"/>
        </w:rPr>
      </w:pPr>
      <w:r w:rsidRPr="00F35544">
        <w:rPr>
          <w:b/>
          <w:bCs/>
          <w:iCs/>
          <w:sz w:val="20"/>
        </w:rPr>
        <w:t>Credit risk</w:t>
      </w:r>
    </w:p>
    <w:p w14:paraId="3A87996D" w14:textId="77777777" w:rsidR="009C4793" w:rsidRPr="00F35544" w:rsidRDefault="009C4793" w:rsidP="009C4793">
      <w:pPr>
        <w:widowControl/>
        <w:autoSpaceDE w:val="0"/>
        <w:autoSpaceDN w:val="0"/>
        <w:adjustRightInd w:val="0"/>
        <w:jc w:val="both"/>
        <w:rPr>
          <w:sz w:val="20"/>
        </w:rPr>
      </w:pPr>
    </w:p>
    <w:p w14:paraId="7F15BE10" w14:textId="3A3CCD47" w:rsidR="008B3A8B" w:rsidRDefault="008B3A8B" w:rsidP="008B3A8B">
      <w:pPr>
        <w:widowControl/>
        <w:autoSpaceDE w:val="0"/>
        <w:autoSpaceDN w:val="0"/>
        <w:adjustRightInd w:val="0"/>
        <w:jc w:val="both"/>
        <w:rPr>
          <w:sz w:val="20"/>
        </w:rPr>
      </w:pPr>
      <w:r w:rsidRPr="00F35544">
        <w:rPr>
          <w:sz w:val="20"/>
        </w:rPr>
        <w:t>Credit risk arises from the non-performance by counterparties of contractual financial obligations. The Company’s exposure to credit risk includes cash and other receivable. The Company reduces its credit risk by maintaining its bank accounts at large international financial institutions.  Other receivable represents GST/HST due from the Canadian government.  The maximum exposure to credit risk is equal to the fair value or carrying value of the financial assets. The Company has assessed credit risk as low.</w:t>
      </w:r>
    </w:p>
    <w:p w14:paraId="7B7C556F" w14:textId="0C16D4F7" w:rsidR="00FA06A6" w:rsidRDefault="00FA06A6" w:rsidP="00657F5D">
      <w:pPr>
        <w:pStyle w:val="Normal2B"/>
        <w:widowControl/>
        <w:autoSpaceDE w:val="0"/>
        <w:autoSpaceDN w:val="0"/>
        <w:adjustRightInd w:val="0"/>
        <w:rPr>
          <w:b w:val="0"/>
          <w:bCs/>
          <w:iCs/>
          <w:sz w:val="20"/>
        </w:rPr>
      </w:pPr>
    </w:p>
    <w:p w14:paraId="630DD06C" w14:textId="77777777" w:rsidR="0026128C" w:rsidRPr="00F35544" w:rsidRDefault="0026128C" w:rsidP="009C4793">
      <w:pPr>
        <w:widowControl/>
        <w:autoSpaceDE w:val="0"/>
        <w:autoSpaceDN w:val="0"/>
        <w:adjustRightInd w:val="0"/>
        <w:jc w:val="both"/>
        <w:rPr>
          <w:b/>
          <w:bCs/>
          <w:iCs/>
          <w:sz w:val="20"/>
        </w:rPr>
      </w:pPr>
      <w:r w:rsidRPr="00F35544">
        <w:rPr>
          <w:b/>
          <w:bCs/>
          <w:iCs/>
          <w:sz w:val="20"/>
        </w:rPr>
        <w:t xml:space="preserve">Liquidity risk </w:t>
      </w:r>
    </w:p>
    <w:p w14:paraId="2401B40D" w14:textId="77777777" w:rsidR="009C4793" w:rsidRPr="00F35544" w:rsidRDefault="009C4793" w:rsidP="009C4793">
      <w:pPr>
        <w:widowControl/>
        <w:autoSpaceDE w:val="0"/>
        <w:autoSpaceDN w:val="0"/>
        <w:adjustRightInd w:val="0"/>
        <w:jc w:val="both"/>
        <w:rPr>
          <w:sz w:val="20"/>
        </w:rPr>
      </w:pPr>
    </w:p>
    <w:p w14:paraId="70651104" w14:textId="77777777" w:rsidR="00210E6F" w:rsidRPr="000206BE" w:rsidRDefault="00210E6F" w:rsidP="00210E6F">
      <w:pPr>
        <w:widowControl/>
        <w:autoSpaceDE w:val="0"/>
        <w:autoSpaceDN w:val="0"/>
        <w:adjustRightInd w:val="0"/>
        <w:jc w:val="both"/>
        <w:rPr>
          <w:sz w:val="20"/>
          <w:lang w:val="en-CA"/>
        </w:rPr>
      </w:pPr>
      <w:r w:rsidRPr="000206BE">
        <w:rPr>
          <w:sz w:val="20"/>
        </w:rPr>
        <w:t xml:space="preserve">Liquidity risk is the risk that the Company will not have sufficient liquidity to meet its financial obligations as they come due. </w:t>
      </w:r>
      <w:r w:rsidRPr="000206BE">
        <w:rPr>
          <w:sz w:val="20"/>
          <w:lang w:val="en-CA"/>
        </w:rPr>
        <w:t xml:space="preserve">The Company has a planning and budgeting process in place to help determine the funds required to support the Company’s normal operating requirements on an ongoing basis. The Company cautions that there are no cash flows from operations.  The Company feels that </w:t>
      </w:r>
      <w:proofErr w:type="gramStart"/>
      <w:r w:rsidRPr="000206BE">
        <w:rPr>
          <w:sz w:val="20"/>
          <w:lang w:val="en-CA"/>
        </w:rPr>
        <w:t>its current cash holdings is</w:t>
      </w:r>
      <w:proofErr w:type="gramEnd"/>
      <w:r w:rsidRPr="000206BE">
        <w:rPr>
          <w:sz w:val="20"/>
          <w:lang w:val="en-CA"/>
        </w:rPr>
        <w:t xml:space="preserve"> adequate to meet its anticipated short-term obligations.</w:t>
      </w:r>
    </w:p>
    <w:p w14:paraId="704AAC6E" w14:textId="77777777" w:rsidR="00210E6F" w:rsidRPr="000206BE" w:rsidRDefault="00210E6F" w:rsidP="00210E6F">
      <w:pPr>
        <w:widowControl/>
        <w:autoSpaceDE w:val="0"/>
        <w:autoSpaceDN w:val="0"/>
        <w:adjustRightInd w:val="0"/>
        <w:jc w:val="both"/>
        <w:rPr>
          <w:sz w:val="20"/>
          <w:lang w:val="en-CA"/>
        </w:rPr>
      </w:pPr>
    </w:p>
    <w:p w14:paraId="2B6CB065" w14:textId="386028DF" w:rsidR="00FA06A6" w:rsidRPr="00FA06A6" w:rsidRDefault="00FA06A6" w:rsidP="00FA06A6">
      <w:pPr>
        <w:widowControl/>
        <w:autoSpaceDE w:val="0"/>
        <w:autoSpaceDN w:val="0"/>
        <w:adjustRightInd w:val="0"/>
        <w:jc w:val="both"/>
        <w:rPr>
          <w:sz w:val="20"/>
          <w:lang w:val="en-CA"/>
        </w:rPr>
      </w:pPr>
      <w:r w:rsidRPr="00FA06A6">
        <w:rPr>
          <w:sz w:val="20"/>
          <w:lang w:val="en-CA"/>
        </w:rPr>
        <w:t>Historically, the Company's sole source of funding has been the issuance of equity securities for cash, primarily through private placements. The Company’s access to financing is always uncertain. There can be no assurance of continued access to significant equity funding. As at</w:t>
      </w:r>
      <w:r w:rsidR="00712AE0">
        <w:rPr>
          <w:sz w:val="20"/>
          <w:lang w:val="en-CA"/>
        </w:rPr>
        <w:t xml:space="preserve"> June 30</w:t>
      </w:r>
      <w:r w:rsidRPr="00FA06A6">
        <w:rPr>
          <w:sz w:val="20"/>
          <w:lang w:val="en-CA"/>
        </w:rPr>
        <w:t>, 2020, the Company had a cash balance of $</w:t>
      </w:r>
      <w:proofErr w:type="gramStart"/>
      <w:r w:rsidR="0069183D">
        <w:rPr>
          <w:sz w:val="20"/>
          <w:lang w:val="en-CA"/>
        </w:rPr>
        <w:t xml:space="preserve">919,947 </w:t>
      </w:r>
      <w:r w:rsidRPr="00FA06A6">
        <w:rPr>
          <w:sz w:val="20"/>
          <w:lang w:val="en-CA"/>
        </w:rPr>
        <w:t xml:space="preserve"> (</w:t>
      </w:r>
      <w:proofErr w:type="gramEnd"/>
      <w:r w:rsidRPr="00FA06A6">
        <w:rPr>
          <w:sz w:val="20"/>
          <w:lang w:val="en-CA"/>
        </w:rPr>
        <w:t>March 31, 20</w:t>
      </w:r>
      <w:r w:rsidR="0069183D">
        <w:rPr>
          <w:sz w:val="20"/>
          <w:lang w:val="en-CA"/>
        </w:rPr>
        <w:t>20</w:t>
      </w:r>
      <w:r w:rsidRPr="00FA06A6">
        <w:rPr>
          <w:sz w:val="20"/>
          <w:lang w:val="en-CA"/>
        </w:rPr>
        <w:t xml:space="preserve"> - </w:t>
      </w:r>
      <w:r w:rsidR="0069183D">
        <w:rPr>
          <w:sz w:val="20"/>
          <w:lang w:val="en-CA"/>
        </w:rPr>
        <w:t>$1,023,103</w:t>
      </w:r>
      <w:r w:rsidRPr="00FA06A6">
        <w:rPr>
          <w:sz w:val="20"/>
          <w:lang w:val="en-CA"/>
        </w:rPr>
        <w:t>) to settle current liabilities of $</w:t>
      </w:r>
      <w:r w:rsidR="00FE529B">
        <w:rPr>
          <w:sz w:val="20"/>
          <w:lang w:val="en-CA"/>
        </w:rPr>
        <w:t>863,525</w:t>
      </w:r>
      <w:r w:rsidRPr="00FA06A6">
        <w:rPr>
          <w:sz w:val="20"/>
          <w:lang w:val="en-CA"/>
        </w:rPr>
        <w:t xml:space="preserve"> (March 31, 20</w:t>
      </w:r>
      <w:r w:rsidR="00FE529B">
        <w:rPr>
          <w:sz w:val="20"/>
          <w:lang w:val="en-CA"/>
        </w:rPr>
        <w:t>20</w:t>
      </w:r>
      <w:r w:rsidRPr="00FA06A6">
        <w:rPr>
          <w:sz w:val="20"/>
          <w:lang w:val="en-CA"/>
        </w:rPr>
        <w:t xml:space="preserve"> - $</w:t>
      </w:r>
      <w:r w:rsidR="00FE529B">
        <w:rPr>
          <w:sz w:val="20"/>
          <w:lang w:val="en-CA"/>
        </w:rPr>
        <w:t>874,435</w:t>
      </w:r>
      <w:r w:rsidRPr="00FA06A6">
        <w:rPr>
          <w:sz w:val="20"/>
          <w:lang w:val="en-CA"/>
        </w:rPr>
        <w:t xml:space="preserve">). </w:t>
      </w:r>
    </w:p>
    <w:p w14:paraId="704AA8FE" w14:textId="22475E34" w:rsidR="002443B0" w:rsidRDefault="002443B0" w:rsidP="009C4793">
      <w:pPr>
        <w:widowControl/>
        <w:autoSpaceDE w:val="0"/>
        <w:autoSpaceDN w:val="0"/>
        <w:adjustRightInd w:val="0"/>
        <w:rPr>
          <w:b/>
          <w:bCs/>
          <w:iCs/>
          <w:sz w:val="20"/>
        </w:rPr>
      </w:pPr>
    </w:p>
    <w:p w14:paraId="26F5B3CE" w14:textId="21371407" w:rsidR="00FA06A6" w:rsidRDefault="00FA06A6" w:rsidP="009C4793">
      <w:pPr>
        <w:widowControl/>
        <w:autoSpaceDE w:val="0"/>
        <w:autoSpaceDN w:val="0"/>
        <w:adjustRightInd w:val="0"/>
        <w:rPr>
          <w:b/>
          <w:bCs/>
          <w:iCs/>
          <w:sz w:val="20"/>
        </w:rPr>
      </w:pPr>
    </w:p>
    <w:p w14:paraId="59080956" w14:textId="77777777" w:rsidR="00FA06A6" w:rsidRDefault="00FA06A6" w:rsidP="009C4793">
      <w:pPr>
        <w:widowControl/>
        <w:autoSpaceDE w:val="0"/>
        <w:autoSpaceDN w:val="0"/>
        <w:adjustRightInd w:val="0"/>
        <w:rPr>
          <w:b/>
          <w:bCs/>
          <w:iCs/>
          <w:sz w:val="20"/>
        </w:rPr>
      </w:pPr>
    </w:p>
    <w:p w14:paraId="2E306AB1" w14:textId="01E46B38" w:rsidR="00FA06A6" w:rsidRDefault="00FA06A6" w:rsidP="009C4793">
      <w:pPr>
        <w:widowControl/>
        <w:autoSpaceDE w:val="0"/>
        <w:autoSpaceDN w:val="0"/>
        <w:adjustRightInd w:val="0"/>
        <w:rPr>
          <w:b/>
          <w:bCs/>
          <w:iCs/>
          <w:sz w:val="20"/>
        </w:rPr>
      </w:pPr>
    </w:p>
    <w:p w14:paraId="5B31105E" w14:textId="77777777" w:rsidR="00FA06A6" w:rsidRPr="00F35544" w:rsidRDefault="00FA06A6" w:rsidP="00FA06A6">
      <w:pPr>
        <w:pStyle w:val="Normal2B"/>
        <w:widowControl/>
        <w:autoSpaceDE w:val="0"/>
        <w:autoSpaceDN w:val="0"/>
        <w:adjustRightInd w:val="0"/>
        <w:rPr>
          <w:rFonts w:ascii="Times New Roman" w:hAnsi="Times New Roman"/>
          <w:spacing w:val="0"/>
          <w:sz w:val="20"/>
          <w:lang w:val="en-US"/>
        </w:rPr>
      </w:pPr>
      <w:r w:rsidRPr="00F35544">
        <w:rPr>
          <w:rFonts w:ascii="Times New Roman" w:hAnsi="Times New Roman"/>
          <w:spacing w:val="0"/>
          <w:sz w:val="20"/>
          <w:lang w:val="en-US"/>
        </w:rPr>
        <w:lastRenderedPageBreak/>
        <w:t>Financial instruments and risks</w:t>
      </w:r>
      <w:r>
        <w:rPr>
          <w:rFonts w:ascii="Times New Roman" w:hAnsi="Times New Roman"/>
          <w:spacing w:val="0"/>
          <w:sz w:val="20"/>
          <w:lang w:val="en-US"/>
        </w:rPr>
        <w:t xml:space="preserve"> (CONTINUED)</w:t>
      </w:r>
    </w:p>
    <w:p w14:paraId="32F1E2E4" w14:textId="77777777" w:rsidR="00FA06A6" w:rsidRPr="00F35544" w:rsidRDefault="00FA06A6" w:rsidP="009C4793">
      <w:pPr>
        <w:widowControl/>
        <w:autoSpaceDE w:val="0"/>
        <w:autoSpaceDN w:val="0"/>
        <w:adjustRightInd w:val="0"/>
        <w:rPr>
          <w:b/>
          <w:bCs/>
          <w:iCs/>
          <w:sz w:val="20"/>
        </w:rPr>
      </w:pPr>
    </w:p>
    <w:p w14:paraId="7B41FFBF" w14:textId="77777777" w:rsidR="0026128C" w:rsidRPr="00F35544" w:rsidRDefault="0026128C" w:rsidP="009C4793">
      <w:pPr>
        <w:widowControl/>
        <w:autoSpaceDE w:val="0"/>
        <w:autoSpaceDN w:val="0"/>
        <w:adjustRightInd w:val="0"/>
        <w:rPr>
          <w:b/>
          <w:bCs/>
          <w:iCs/>
          <w:sz w:val="20"/>
        </w:rPr>
      </w:pPr>
      <w:r w:rsidRPr="00F35544">
        <w:rPr>
          <w:b/>
          <w:bCs/>
          <w:iCs/>
          <w:sz w:val="20"/>
        </w:rPr>
        <w:t>Market risk</w:t>
      </w:r>
    </w:p>
    <w:p w14:paraId="2DFD3CBF" w14:textId="77777777" w:rsidR="009C4793" w:rsidRPr="00F35544" w:rsidRDefault="009C4793" w:rsidP="009C4793">
      <w:pPr>
        <w:widowControl/>
        <w:autoSpaceDE w:val="0"/>
        <w:autoSpaceDN w:val="0"/>
        <w:adjustRightInd w:val="0"/>
        <w:jc w:val="both"/>
        <w:rPr>
          <w:sz w:val="20"/>
        </w:rPr>
      </w:pPr>
    </w:p>
    <w:p w14:paraId="671036B0" w14:textId="77777777" w:rsidR="0026128C" w:rsidRPr="00F35544" w:rsidRDefault="0026128C" w:rsidP="00A05A52">
      <w:pPr>
        <w:widowControl/>
        <w:autoSpaceDE w:val="0"/>
        <w:autoSpaceDN w:val="0"/>
        <w:adjustRightInd w:val="0"/>
        <w:spacing w:after="120"/>
        <w:jc w:val="both"/>
        <w:rPr>
          <w:sz w:val="20"/>
        </w:rPr>
      </w:pPr>
      <w:r w:rsidRPr="00F35544">
        <w:rPr>
          <w:sz w:val="20"/>
        </w:rPr>
        <w:t>Market risk is the risk of loss that may arise from changes in market factors such as interest rates, foreign currency and price risk.</w:t>
      </w:r>
    </w:p>
    <w:p w14:paraId="740EECD4" w14:textId="77777777" w:rsidR="0026128C" w:rsidRPr="00F35544" w:rsidRDefault="0026128C" w:rsidP="00A05A52">
      <w:pPr>
        <w:pStyle w:val="ListParagraph"/>
        <w:widowControl/>
        <w:numPr>
          <w:ilvl w:val="0"/>
          <w:numId w:val="3"/>
        </w:numPr>
        <w:tabs>
          <w:tab w:val="left" w:pos="0"/>
          <w:tab w:val="left" w:pos="360"/>
        </w:tabs>
        <w:autoSpaceDE w:val="0"/>
        <w:autoSpaceDN w:val="0"/>
        <w:adjustRightInd w:val="0"/>
        <w:spacing w:after="120"/>
        <w:ind w:left="0" w:firstLine="0"/>
        <w:jc w:val="both"/>
        <w:rPr>
          <w:sz w:val="20"/>
        </w:rPr>
      </w:pPr>
      <w:r w:rsidRPr="00F35544">
        <w:rPr>
          <w:sz w:val="20"/>
        </w:rPr>
        <w:t>Interest rate risk</w:t>
      </w:r>
    </w:p>
    <w:p w14:paraId="7BA07A9F" w14:textId="70DB589C" w:rsidR="008B3A8B" w:rsidRPr="00F35544" w:rsidRDefault="008B3A8B" w:rsidP="00A05A52">
      <w:pPr>
        <w:widowControl/>
        <w:tabs>
          <w:tab w:val="left" w:pos="0"/>
        </w:tabs>
        <w:autoSpaceDE w:val="0"/>
        <w:autoSpaceDN w:val="0"/>
        <w:adjustRightInd w:val="0"/>
        <w:spacing w:after="120"/>
        <w:ind w:left="360"/>
        <w:jc w:val="both"/>
        <w:rPr>
          <w:sz w:val="20"/>
        </w:rPr>
      </w:pPr>
      <w:r w:rsidRPr="00F35544">
        <w:rPr>
          <w:sz w:val="20"/>
        </w:rPr>
        <w:t xml:space="preserve">Interest rate risk is the risk that the fair value of future cash flows of a financial instrument will fluctuate because of changes in the market interest rates. The Company has no material exposure at </w:t>
      </w:r>
      <w:r w:rsidR="004B203C">
        <w:rPr>
          <w:sz w:val="20"/>
        </w:rPr>
        <w:t>June 30</w:t>
      </w:r>
      <w:r w:rsidR="00210E6F">
        <w:rPr>
          <w:sz w:val="20"/>
        </w:rPr>
        <w:t>, 20</w:t>
      </w:r>
      <w:r w:rsidR="005704A3">
        <w:rPr>
          <w:sz w:val="20"/>
        </w:rPr>
        <w:t>20</w:t>
      </w:r>
      <w:r w:rsidRPr="00F35544">
        <w:rPr>
          <w:sz w:val="20"/>
        </w:rPr>
        <w:t xml:space="preserve"> to interest rate risk through its financial instruments.</w:t>
      </w:r>
    </w:p>
    <w:p w14:paraId="568D1E78" w14:textId="77777777" w:rsidR="0026128C" w:rsidRPr="00F35544" w:rsidRDefault="0026128C" w:rsidP="00A05A52">
      <w:pPr>
        <w:pStyle w:val="ListParagraph"/>
        <w:widowControl/>
        <w:numPr>
          <w:ilvl w:val="0"/>
          <w:numId w:val="3"/>
        </w:numPr>
        <w:autoSpaceDE w:val="0"/>
        <w:autoSpaceDN w:val="0"/>
        <w:adjustRightInd w:val="0"/>
        <w:spacing w:after="120"/>
        <w:ind w:left="360"/>
        <w:jc w:val="both"/>
        <w:rPr>
          <w:sz w:val="20"/>
        </w:rPr>
      </w:pPr>
      <w:r w:rsidRPr="00F35544">
        <w:rPr>
          <w:sz w:val="20"/>
        </w:rPr>
        <w:t>Foreign currency risk</w:t>
      </w:r>
    </w:p>
    <w:p w14:paraId="7ED6D368" w14:textId="02D5C93E" w:rsidR="00210E6F" w:rsidRDefault="00210E6F" w:rsidP="00210E6F">
      <w:pPr>
        <w:widowControl/>
        <w:autoSpaceDE w:val="0"/>
        <w:autoSpaceDN w:val="0"/>
        <w:adjustRightInd w:val="0"/>
        <w:ind w:left="360"/>
        <w:jc w:val="both"/>
        <w:rPr>
          <w:sz w:val="20"/>
        </w:rPr>
      </w:pPr>
      <w:bookmarkStart w:id="5" w:name="_Hlk518549971"/>
      <w:r w:rsidRPr="000206BE">
        <w:rPr>
          <w:sz w:val="20"/>
        </w:rPr>
        <w:t>Foreign currency risk is the risk that the fair values of future cash flows of a financial instrument will fluctuate because they are denominated in currencies that differ from the respective functional currency. During the year ended March 31, 20</w:t>
      </w:r>
      <w:r w:rsidR="005704A3">
        <w:rPr>
          <w:sz w:val="20"/>
        </w:rPr>
        <w:t>20</w:t>
      </w:r>
      <w:r w:rsidRPr="000206BE">
        <w:rPr>
          <w:sz w:val="20"/>
        </w:rPr>
        <w:t>, the Company sold its subsidiary in the United States and the Company does not have any financial instruments denominated in a foreign currency</w:t>
      </w:r>
      <w:r w:rsidR="00CF5A4E">
        <w:rPr>
          <w:sz w:val="20"/>
        </w:rPr>
        <w:t xml:space="preserve"> as at June 30, 2020</w:t>
      </w:r>
      <w:r w:rsidRPr="000206BE">
        <w:rPr>
          <w:sz w:val="20"/>
        </w:rPr>
        <w:t xml:space="preserve">. Foreign currency risk is assessed as low. </w:t>
      </w:r>
    </w:p>
    <w:p w14:paraId="1279399D" w14:textId="77777777" w:rsidR="00210E6F" w:rsidRPr="000206BE" w:rsidRDefault="00210E6F" w:rsidP="00210E6F">
      <w:pPr>
        <w:widowControl/>
        <w:autoSpaceDE w:val="0"/>
        <w:autoSpaceDN w:val="0"/>
        <w:adjustRightInd w:val="0"/>
        <w:ind w:left="360"/>
        <w:jc w:val="both"/>
        <w:rPr>
          <w:sz w:val="20"/>
        </w:rPr>
      </w:pPr>
    </w:p>
    <w:bookmarkEnd w:id="5"/>
    <w:p w14:paraId="4FA40730" w14:textId="77777777" w:rsidR="0026128C" w:rsidRPr="00F35544" w:rsidRDefault="0026128C" w:rsidP="003B761F">
      <w:pPr>
        <w:pStyle w:val="ListParagraph"/>
        <w:widowControl/>
        <w:numPr>
          <w:ilvl w:val="0"/>
          <w:numId w:val="3"/>
        </w:numPr>
        <w:autoSpaceDE w:val="0"/>
        <w:autoSpaceDN w:val="0"/>
        <w:adjustRightInd w:val="0"/>
        <w:ind w:left="360"/>
        <w:jc w:val="both"/>
        <w:rPr>
          <w:sz w:val="20"/>
        </w:rPr>
      </w:pPr>
      <w:r w:rsidRPr="00F35544">
        <w:rPr>
          <w:sz w:val="20"/>
        </w:rPr>
        <w:t>Price risk</w:t>
      </w:r>
    </w:p>
    <w:p w14:paraId="62B49D65" w14:textId="77777777" w:rsidR="009C4793" w:rsidRPr="00F35544" w:rsidRDefault="009C4793" w:rsidP="009C4793">
      <w:pPr>
        <w:pStyle w:val="ListParagraph"/>
        <w:widowControl/>
        <w:autoSpaceDE w:val="0"/>
        <w:autoSpaceDN w:val="0"/>
        <w:adjustRightInd w:val="0"/>
        <w:ind w:left="360"/>
        <w:jc w:val="both"/>
        <w:rPr>
          <w:sz w:val="20"/>
        </w:rPr>
      </w:pPr>
    </w:p>
    <w:p w14:paraId="4607072E" w14:textId="77777777" w:rsidR="0026128C" w:rsidRDefault="0026128C" w:rsidP="009C4793">
      <w:pPr>
        <w:widowControl/>
        <w:autoSpaceDE w:val="0"/>
        <w:autoSpaceDN w:val="0"/>
        <w:adjustRightInd w:val="0"/>
        <w:ind w:left="360"/>
        <w:jc w:val="both"/>
        <w:rPr>
          <w:sz w:val="20"/>
        </w:rPr>
      </w:pPr>
      <w:r w:rsidRPr="00F35544">
        <w:rPr>
          <w:sz w:val="20"/>
        </w:rPr>
        <w:t>The Company’s exposure to price risk with respect to commodity and equity prices is minimal due to the fact that the Company is still in the exploration stage with no earnings. Equity price risk is defined as the potential adverse impact on the Company’s earnings due to movements in individual equity prices or general movements in the level of the stock market. Commodity price risk is defined as the potential adverse impact on earnings and economic value due to commodity price movements and volatilities. The Company intends to closely monitor commodity prices of gold and other precious and base metals, individual equity movements, and the stock market to determine the appropriate course of action to be taken by the Company when warranted.</w:t>
      </w:r>
    </w:p>
    <w:p w14:paraId="16AB413C" w14:textId="77777777" w:rsidR="00210E6F" w:rsidRDefault="00210E6F" w:rsidP="008E7AAF">
      <w:pPr>
        <w:adjustRightInd w:val="0"/>
        <w:jc w:val="both"/>
        <w:rPr>
          <w:b/>
          <w:caps/>
          <w:sz w:val="20"/>
        </w:rPr>
      </w:pPr>
    </w:p>
    <w:p w14:paraId="42F26640" w14:textId="77777777" w:rsidR="000A15D2" w:rsidRPr="00F35544" w:rsidRDefault="005A213E" w:rsidP="008E7AAF">
      <w:pPr>
        <w:adjustRightInd w:val="0"/>
        <w:jc w:val="both"/>
        <w:rPr>
          <w:b/>
          <w:caps/>
          <w:sz w:val="20"/>
        </w:rPr>
      </w:pPr>
      <w:r w:rsidRPr="00F35544">
        <w:rPr>
          <w:b/>
          <w:caps/>
          <w:sz w:val="20"/>
        </w:rPr>
        <w:t>Other InformatioN</w:t>
      </w:r>
    </w:p>
    <w:p w14:paraId="68497BB7" w14:textId="77777777" w:rsidR="008E7AAF" w:rsidRPr="00F35544" w:rsidRDefault="008E7AAF" w:rsidP="008E7AAF">
      <w:pPr>
        <w:adjustRightInd w:val="0"/>
        <w:rPr>
          <w:b/>
          <w:sz w:val="20"/>
        </w:rPr>
      </w:pPr>
    </w:p>
    <w:p w14:paraId="661C0CD8" w14:textId="77777777" w:rsidR="000928F5" w:rsidRPr="00F35544" w:rsidRDefault="000928F5" w:rsidP="008E7AAF">
      <w:pPr>
        <w:adjustRightInd w:val="0"/>
        <w:rPr>
          <w:b/>
          <w:sz w:val="20"/>
        </w:rPr>
      </w:pPr>
      <w:r w:rsidRPr="00F35544">
        <w:rPr>
          <w:b/>
          <w:sz w:val="20"/>
        </w:rPr>
        <w:t>Off Balance Sheet Items</w:t>
      </w:r>
    </w:p>
    <w:p w14:paraId="5D25B3DA" w14:textId="77777777" w:rsidR="008E7AAF" w:rsidRPr="00F35544" w:rsidRDefault="008E7AAF" w:rsidP="008E7AAF">
      <w:pPr>
        <w:adjustRightInd w:val="0"/>
        <w:jc w:val="both"/>
        <w:rPr>
          <w:sz w:val="20"/>
          <w:lang w:eastAsia="en-CA"/>
        </w:rPr>
      </w:pPr>
    </w:p>
    <w:p w14:paraId="0A7195EE" w14:textId="39B9AB97" w:rsidR="000928F5" w:rsidRDefault="000928F5" w:rsidP="008E7AAF">
      <w:pPr>
        <w:adjustRightInd w:val="0"/>
        <w:jc w:val="both"/>
        <w:rPr>
          <w:sz w:val="20"/>
          <w:lang w:eastAsia="en-CA"/>
        </w:rPr>
      </w:pPr>
      <w:r w:rsidRPr="00F35544">
        <w:rPr>
          <w:sz w:val="20"/>
          <w:lang w:eastAsia="en-CA"/>
        </w:rPr>
        <w:t>The Company has no off-balance sheet arrangements.</w:t>
      </w:r>
    </w:p>
    <w:p w14:paraId="033915BF" w14:textId="1488E126" w:rsidR="00FA06A6" w:rsidRDefault="00FA06A6" w:rsidP="008E7AAF">
      <w:pPr>
        <w:adjustRightInd w:val="0"/>
        <w:rPr>
          <w:b/>
          <w:sz w:val="20"/>
        </w:rPr>
      </w:pPr>
    </w:p>
    <w:p w14:paraId="6163BE82" w14:textId="31C5902E" w:rsidR="005D290A" w:rsidRPr="00F35544" w:rsidRDefault="005D290A" w:rsidP="008E7AAF">
      <w:pPr>
        <w:adjustRightInd w:val="0"/>
        <w:rPr>
          <w:b/>
          <w:sz w:val="20"/>
        </w:rPr>
      </w:pPr>
      <w:r w:rsidRPr="00F35544">
        <w:rPr>
          <w:b/>
          <w:sz w:val="20"/>
        </w:rPr>
        <w:t>Going Concern</w:t>
      </w:r>
    </w:p>
    <w:p w14:paraId="4A905A8A" w14:textId="77777777" w:rsidR="008E7AAF" w:rsidRPr="00F35544" w:rsidRDefault="008E7AAF" w:rsidP="008E7AAF">
      <w:pPr>
        <w:jc w:val="both"/>
        <w:rPr>
          <w:sz w:val="20"/>
        </w:rPr>
      </w:pPr>
    </w:p>
    <w:p w14:paraId="1EEE4DC1" w14:textId="4A64D6EE" w:rsidR="00210E6F" w:rsidRPr="000206BE" w:rsidRDefault="00210E6F" w:rsidP="00E34B03">
      <w:pPr>
        <w:spacing w:after="120"/>
        <w:jc w:val="both"/>
        <w:rPr>
          <w:sz w:val="20"/>
        </w:rPr>
      </w:pPr>
      <w:r w:rsidRPr="000206BE">
        <w:rPr>
          <w:sz w:val="20"/>
        </w:rPr>
        <w:t xml:space="preserve">These consolidated financial statements have been prepared on a going-concern basis, which assumes the realization of assets and liquidation of liabilities in the normal course of business. Several material uncertainties lend significant doubt on the validity of this assumption. The Company has incurred losses since inception and has no current source of revenue. Continuing operations, as intended, are dependent on management’s ability to </w:t>
      </w:r>
      <w:proofErr w:type="gramStart"/>
      <w:r w:rsidRPr="000206BE">
        <w:rPr>
          <w:sz w:val="20"/>
        </w:rPr>
        <w:t>raise</w:t>
      </w:r>
      <w:proofErr w:type="gramEnd"/>
      <w:r w:rsidRPr="000206BE">
        <w:rPr>
          <w:sz w:val="20"/>
        </w:rPr>
        <w:t xml:space="preserve"> required funding through future equity issuances, its ability to acquire resource property or business interests and develop profitable operations or a combination thereof, which is not assured given the volatile and uncertain financial markets. These consolidated financial statements do not include any adjustments to the recoverability and classification of recorded asset amounts and classification of liabilities that might be necessary should the Company be unable to continue as a going concern. </w:t>
      </w:r>
      <w:bookmarkStart w:id="6" w:name="OLE_LINK4"/>
      <w:r w:rsidRPr="000206BE">
        <w:rPr>
          <w:sz w:val="20"/>
        </w:rPr>
        <w:t xml:space="preserve">At </w:t>
      </w:r>
      <w:r w:rsidR="00ED1A46">
        <w:rPr>
          <w:sz w:val="20"/>
        </w:rPr>
        <w:t>June 30</w:t>
      </w:r>
      <w:r w:rsidRPr="000206BE">
        <w:rPr>
          <w:sz w:val="20"/>
        </w:rPr>
        <w:t>, 20</w:t>
      </w:r>
      <w:r w:rsidR="005704A3">
        <w:rPr>
          <w:sz w:val="20"/>
        </w:rPr>
        <w:t>20</w:t>
      </w:r>
      <w:r w:rsidRPr="000206BE">
        <w:rPr>
          <w:sz w:val="20"/>
        </w:rPr>
        <w:t>, the Company had a deficit of $</w:t>
      </w:r>
      <w:r w:rsidR="007B225E">
        <w:rPr>
          <w:sz w:val="20"/>
        </w:rPr>
        <w:t>23,560,081</w:t>
      </w:r>
      <w:r w:rsidR="00D661E6">
        <w:rPr>
          <w:sz w:val="20"/>
        </w:rPr>
        <w:t xml:space="preserve"> </w:t>
      </w:r>
      <w:r w:rsidRPr="000206BE">
        <w:rPr>
          <w:sz w:val="20"/>
        </w:rPr>
        <w:t>(201</w:t>
      </w:r>
      <w:r w:rsidR="005704A3">
        <w:rPr>
          <w:sz w:val="20"/>
        </w:rPr>
        <w:t>9</w:t>
      </w:r>
      <w:r w:rsidRPr="000206BE">
        <w:rPr>
          <w:sz w:val="20"/>
        </w:rPr>
        <w:t xml:space="preserve"> - $</w:t>
      </w:r>
      <w:r w:rsidR="007B225E">
        <w:rPr>
          <w:sz w:val="20"/>
        </w:rPr>
        <w:t>23,480,591</w:t>
      </w:r>
      <w:r w:rsidR="006C40D0" w:rsidRPr="000206BE">
        <w:rPr>
          <w:sz w:val="20"/>
        </w:rPr>
        <w:t>) and</w:t>
      </w:r>
      <w:r w:rsidRPr="000206BE">
        <w:rPr>
          <w:sz w:val="20"/>
        </w:rPr>
        <w:t xml:space="preserve"> working capital of </w:t>
      </w:r>
      <w:r w:rsidR="00D661E6" w:rsidRPr="009F7E24">
        <w:rPr>
          <w:sz w:val="20"/>
        </w:rPr>
        <w:t>$</w:t>
      </w:r>
      <w:r w:rsidR="007B225E">
        <w:rPr>
          <w:sz w:val="20"/>
        </w:rPr>
        <w:t>345,128</w:t>
      </w:r>
      <w:r w:rsidR="00D661E6" w:rsidRPr="009F7E24">
        <w:rPr>
          <w:sz w:val="20"/>
        </w:rPr>
        <w:t xml:space="preserve"> (2019 – </w:t>
      </w:r>
      <w:bookmarkEnd w:id="6"/>
      <w:r w:rsidR="007B225E">
        <w:rPr>
          <w:sz w:val="20"/>
        </w:rPr>
        <w:t>495,106</w:t>
      </w:r>
      <w:r w:rsidRPr="000206BE">
        <w:rPr>
          <w:sz w:val="20"/>
        </w:rPr>
        <w:t xml:space="preserve">).  There can be no assurance that the Company will be able to continue to raise funds, in which case the Company may be unable to meet its obligations. Should the Company be unable to continue as a going concern, the net realizable values of its assets may be materially less than the amounts recorded on the condensed interim consolidated statements of financial </w:t>
      </w:r>
      <w:proofErr w:type="gramStart"/>
      <w:r w:rsidRPr="000206BE">
        <w:rPr>
          <w:sz w:val="20"/>
        </w:rPr>
        <w:t>position.</w:t>
      </w:r>
      <w:proofErr w:type="gramEnd"/>
    </w:p>
    <w:p w14:paraId="3729B4FD" w14:textId="05B6C1FF" w:rsidR="005D290A" w:rsidRDefault="005D290A" w:rsidP="00E34B03">
      <w:pPr>
        <w:spacing w:after="120"/>
        <w:jc w:val="both"/>
        <w:rPr>
          <w:sz w:val="20"/>
        </w:rPr>
      </w:pPr>
      <w:r w:rsidRPr="00F35544">
        <w:rPr>
          <w:sz w:val="20"/>
        </w:rPr>
        <w:t xml:space="preserve">There can be no assurance that the Company will be able to continue to raise funds, in which case the Company may be unable to meet its obligations. Should the Company be unable to continue as a going-concern, the net realizable values of its assets may be materially less than the amounts recorded on the consolidated statement of financial </w:t>
      </w:r>
      <w:proofErr w:type="gramStart"/>
      <w:r w:rsidRPr="00F35544">
        <w:rPr>
          <w:sz w:val="20"/>
        </w:rPr>
        <w:t>position.</w:t>
      </w:r>
      <w:proofErr w:type="gramEnd"/>
      <w:r w:rsidRPr="00F35544">
        <w:rPr>
          <w:sz w:val="20"/>
        </w:rPr>
        <w:t xml:space="preserve"> </w:t>
      </w:r>
    </w:p>
    <w:p w14:paraId="56111983" w14:textId="77777777" w:rsidR="00623A6C" w:rsidRPr="00F35544" w:rsidRDefault="00623A6C" w:rsidP="00E34B03">
      <w:pPr>
        <w:adjustRightInd w:val="0"/>
        <w:spacing w:after="120"/>
        <w:rPr>
          <w:b/>
          <w:sz w:val="20"/>
        </w:rPr>
      </w:pPr>
      <w:r w:rsidRPr="00F35544">
        <w:rPr>
          <w:b/>
          <w:sz w:val="20"/>
        </w:rPr>
        <w:lastRenderedPageBreak/>
        <w:t>Management of capital</w:t>
      </w:r>
    </w:p>
    <w:p w14:paraId="690C9AFE" w14:textId="77777777" w:rsidR="000D1BB4" w:rsidRPr="00F35544" w:rsidRDefault="000D1BB4" w:rsidP="00E34B03">
      <w:pPr>
        <w:spacing w:after="120"/>
        <w:jc w:val="both"/>
        <w:rPr>
          <w:sz w:val="20"/>
        </w:rPr>
      </w:pPr>
      <w:r w:rsidRPr="00F35544">
        <w:rPr>
          <w:sz w:val="20"/>
        </w:rPr>
        <w:t xml:space="preserve">The Company’s objectives when managing capital are to safeguard the Company’s ability to continue as a going concern in order to pursue suitable business opportunities and to maintain a flexible capital structure for its projects for the benefit of its stakeholders. As the Company is in the exploration stage and has not achieved commercial operations from its projects, its principal source of funds is from the issuance of common shares. </w:t>
      </w:r>
    </w:p>
    <w:p w14:paraId="23A2EB66" w14:textId="77777777" w:rsidR="00623A6C" w:rsidRDefault="00623A6C" w:rsidP="00E34B03">
      <w:pPr>
        <w:spacing w:after="120"/>
        <w:jc w:val="both"/>
        <w:rPr>
          <w:sz w:val="20"/>
        </w:rPr>
      </w:pPr>
      <w:r w:rsidRPr="00F35544">
        <w:rPr>
          <w:sz w:val="20"/>
        </w:rPr>
        <w:t xml:space="preserve">In the management of capital, the Company includes the components of shareholders’ equity (deficiency). The Company manages the capital structure and makes adjustments to it in light of changes in economic conditions and the risk characteristics of the underlying assets. To maintain or adjust the capital structure, the Company may attempt to issue new shares, enter into joint venture property arrangements, acquire or dispose of assets or adjust the amount of cash and cash equivalents and investments. </w:t>
      </w:r>
    </w:p>
    <w:p w14:paraId="3C2D7BD3" w14:textId="77777777" w:rsidR="00623A6C" w:rsidRPr="00F35544" w:rsidRDefault="00623A6C" w:rsidP="00E34B03">
      <w:pPr>
        <w:spacing w:after="120"/>
        <w:jc w:val="both"/>
        <w:rPr>
          <w:sz w:val="20"/>
        </w:rPr>
      </w:pPr>
      <w:r w:rsidRPr="00F35544">
        <w:rPr>
          <w:sz w:val="20"/>
        </w:rPr>
        <w:t xml:space="preserve">In order to facilitate the management of its capital requirements, the Company prepares monthly and annual expenditure budgets that are updated as necessary depending on various factors, including successful capital deployment and general industry conditions. The annual and updated budgets are approved by the Board of Directors. The Company’s investment policy is to invest its cash in highly liquid short-term interest-bearing investments with maturities of three months or less from the original date of acquisition, selected with regards to the expected timing of expenditures from continuing operations. The Company is uncertain as to </w:t>
      </w:r>
      <w:r w:rsidR="005C77B4" w:rsidRPr="00F35544">
        <w:rPr>
          <w:sz w:val="20"/>
        </w:rPr>
        <w:t xml:space="preserve">whether its current capital resources will be sufficient to carry its exploration and development plans and </w:t>
      </w:r>
      <w:r w:rsidRPr="00F35544">
        <w:rPr>
          <w:sz w:val="20"/>
        </w:rPr>
        <w:t xml:space="preserve">operations through its current operating period and, accordingly, management is reviewing the timing and scope of current exploration plans and is also pursuing other financing alternatives to fund the Company’s operations.   </w:t>
      </w:r>
    </w:p>
    <w:p w14:paraId="37F42A57" w14:textId="77777777" w:rsidR="00623A6C" w:rsidRPr="00F35544" w:rsidRDefault="00623A6C" w:rsidP="008E7AAF">
      <w:pPr>
        <w:jc w:val="both"/>
        <w:rPr>
          <w:sz w:val="20"/>
        </w:rPr>
      </w:pPr>
      <w:r w:rsidRPr="00F35544">
        <w:rPr>
          <w:sz w:val="20"/>
        </w:rPr>
        <w:t>The Company is not currently subject to externally imposed capital requirements. There are no changes in the Company’s approach to capital management.</w:t>
      </w:r>
    </w:p>
    <w:p w14:paraId="2D091988" w14:textId="77777777" w:rsidR="00E34B03" w:rsidRDefault="00E34B03" w:rsidP="009D66D9">
      <w:pPr>
        <w:adjustRightInd w:val="0"/>
        <w:rPr>
          <w:b/>
          <w:sz w:val="20"/>
        </w:rPr>
      </w:pPr>
    </w:p>
    <w:p w14:paraId="51254CA6" w14:textId="77777777" w:rsidR="000928F5" w:rsidRPr="00F35544" w:rsidRDefault="008F4AA5" w:rsidP="009D66D9">
      <w:pPr>
        <w:adjustRightInd w:val="0"/>
        <w:rPr>
          <w:b/>
          <w:sz w:val="20"/>
        </w:rPr>
      </w:pPr>
      <w:r w:rsidRPr="00F35544">
        <w:rPr>
          <w:b/>
          <w:sz w:val="20"/>
        </w:rPr>
        <w:t>Outstanding Share D</w:t>
      </w:r>
      <w:r w:rsidR="000928F5" w:rsidRPr="00F35544">
        <w:rPr>
          <w:b/>
          <w:sz w:val="20"/>
        </w:rPr>
        <w:t>ata</w:t>
      </w:r>
    </w:p>
    <w:p w14:paraId="1EFA58C5" w14:textId="77777777" w:rsidR="009D66D9" w:rsidRPr="00F35544" w:rsidRDefault="009D66D9" w:rsidP="009D66D9">
      <w:pPr>
        <w:adjustRightInd w:val="0"/>
        <w:rPr>
          <w:sz w:val="20"/>
        </w:rPr>
      </w:pPr>
    </w:p>
    <w:p w14:paraId="052C3697" w14:textId="77777777" w:rsidR="001D3471" w:rsidRPr="00F35544" w:rsidRDefault="005F1CEA" w:rsidP="005F6D09">
      <w:pPr>
        <w:adjustRightInd w:val="0"/>
        <w:jc w:val="both"/>
        <w:rPr>
          <w:sz w:val="20"/>
        </w:rPr>
      </w:pPr>
      <w:r w:rsidRPr="00F35544">
        <w:rPr>
          <w:sz w:val="20"/>
        </w:rPr>
        <w:t>The table below presents the Compan</w:t>
      </w:r>
      <w:r w:rsidR="00291EBF" w:rsidRPr="00F35544">
        <w:rPr>
          <w:sz w:val="20"/>
        </w:rPr>
        <w:t>y’s common share data as of</w:t>
      </w:r>
      <w:r w:rsidR="005712EF" w:rsidRPr="00F35544">
        <w:rPr>
          <w:sz w:val="20"/>
        </w:rPr>
        <w:t xml:space="preserve"> </w:t>
      </w:r>
      <w:r w:rsidR="00CC1B66" w:rsidRPr="00F35544">
        <w:rPr>
          <w:sz w:val="20"/>
        </w:rPr>
        <w:t>the date of this MD&amp;A.</w:t>
      </w:r>
    </w:p>
    <w:p w14:paraId="0C36FB1A" w14:textId="77777777" w:rsidR="001D3471" w:rsidRPr="00F35544" w:rsidRDefault="001D3471" w:rsidP="009D66D9">
      <w:pPr>
        <w:adjustRightInd w:val="0"/>
        <w:rPr>
          <w:sz w:val="20"/>
        </w:rPr>
      </w:pPr>
    </w:p>
    <w:tbl>
      <w:tblPr>
        <w:tblW w:w="9468" w:type="dxa"/>
        <w:tblInd w:w="108" w:type="dxa"/>
        <w:tblLook w:val="04A0" w:firstRow="1" w:lastRow="0" w:firstColumn="1" w:lastColumn="0" w:noHBand="0" w:noVBand="1"/>
      </w:tblPr>
      <w:tblGrid>
        <w:gridCol w:w="4320"/>
        <w:gridCol w:w="325"/>
        <w:gridCol w:w="1250"/>
        <w:gridCol w:w="1628"/>
        <w:gridCol w:w="1945"/>
      </w:tblGrid>
      <w:tr w:rsidR="000F0DEB" w:rsidRPr="00F35544" w14:paraId="64BA949E" w14:textId="77777777" w:rsidTr="006C40D0">
        <w:trPr>
          <w:trHeight w:val="187"/>
        </w:trPr>
        <w:tc>
          <w:tcPr>
            <w:tcW w:w="4320" w:type="dxa"/>
            <w:tcBorders>
              <w:top w:val="double" w:sz="4" w:space="0" w:color="auto"/>
              <w:left w:val="nil"/>
              <w:bottom w:val="single" w:sz="4" w:space="0" w:color="auto"/>
              <w:right w:val="nil"/>
            </w:tcBorders>
            <w:shd w:val="clear" w:color="auto" w:fill="auto"/>
            <w:noWrap/>
            <w:vAlign w:val="bottom"/>
            <w:hideMark/>
          </w:tcPr>
          <w:p w14:paraId="344BC96C" w14:textId="77777777" w:rsidR="00190EC0" w:rsidRPr="00F35544" w:rsidRDefault="00190EC0" w:rsidP="005F6D09">
            <w:pPr>
              <w:adjustRightInd w:val="0"/>
              <w:jc w:val="both"/>
              <w:rPr>
                <w:sz w:val="20"/>
              </w:rPr>
            </w:pPr>
            <w:r w:rsidRPr="00F35544">
              <w:rPr>
                <w:sz w:val="20"/>
              </w:rPr>
              <w:t> </w:t>
            </w:r>
          </w:p>
        </w:tc>
        <w:tc>
          <w:tcPr>
            <w:tcW w:w="325" w:type="dxa"/>
            <w:tcBorders>
              <w:top w:val="double" w:sz="4" w:space="0" w:color="auto"/>
              <w:left w:val="nil"/>
              <w:bottom w:val="single" w:sz="4" w:space="0" w:color="auto"/>
              <w:right w:val="nil"/>
            </w:tcBorders>
            <w:shd w:val="clear" w:color="auto" w:fill="auto"/>
            <w:noWrap/>
            <w:vAlign w:val="bottom"/>
            <w:hideMark/>
          </w:tcPr>
          <w:p w14:paraId="5A7AF7D2" w14:textId="77777777" w:rsidR="00190EC0" w:rsidRPr="00F35544" w:rsidRDefault="00190EC0" w:rsidP="005F6D09">
            <w:pPr>
              <w:adjustRightInd w:val="0"/>
              <w:jc w:val="both"/>
              <w:rPr>
                <w:sz w:val="20"/>
              </w:rPr>
            </w:pPr>
            <w:r w:rsidRPr="00F35544">
              <w:rPr>
                <w:sz w:val="20"/>
              </w:rPr>
              <w:t> </w:t>
            </w:r>
          </w:p>
        </w:tc>
        <w:tc>
          <w:tcPr>
            <w:tcW w:w="1250" w:type="dxa"/>
            <w:tcBorders>
              <w:top w:val="double" w:sz="4" w:space="0" w:color="auto"/>
              <w:left w:val="nil"/>
              <w:bottom w:val="single" w:sz="4" w:space="0" w:color="auto"/>
              <w:right w:val="nil"/>
            </w:tcBorders>
            <w:shd w:val="clear" w:color="auto" w:fill="auto"/>
            <w:vAlign w:val="bottom"/>
          </w:tcPr>
          <w:p w14:paraId="3A8206FC" w14:textId="77777777" w:rsidR="00190EC0" w:rsidRPr="00F35544" w:rsidRDefault="00190EC0" w:rsidP="005F6D09">
            <w:pPr>
              <w:adjustRightInd w:val="0"/>
              <w:jc w:val="both"/>
              <w:rPr>
                <w:sz w:val="20"/>
              </w:rPr>
            </w:pPr>
          </w:p>
        </w:tc>
        <w:tc>
          <w:tcPr>
            <w:tcW w:w="1628" w:type="dxa"/>
            <w:tcBorders>
              <w:top w:val="double" w:sz="4" w:space="0" w:color="auto"/>
              <w:left w:val="nil"/>
              <w:bottom w:val="single" w:sz="4" w:space="0" w:color="auto"/>
              <w:right w:val="nil"/>
            </w:tcBorders>
            <w:shd w:val="clear" w:color="auto" w:fill="auto"/>
            <w:vAlign w:val="bottom"/>
          </w:tcPr>
          <w:p w14:paraId="2952C744" w14:textId="77777777" w:rsidR="00190EC0" w:rsidRPr="00F35544" w:rsidRDefault="00190EC0" w:rsidP="005F6D09">
            <w:pPr>
              <w:adjustRightInd w:val="0"/>
              <w:ind w:left="-63"/>
              <w:jc w:val="both"/>
              <w:rPr>
                <w:sz w:val="20"/>
              </w:rPr>
            </w:pPr>
          </w:p>
        </w:tc>
        <w:tc>
          <w:tcPr>
            <w:tcW w:w="1945" w:type="dxa"/>
            <w:tcBorders>
              <w:top w:val="double" w:sz="4" w:space="0" w:color="auto"/>
              <w:left w:val="nil"/>
              <w:bottom w:val="single" w:sz="4" w:space="0" w:color="auto"/>
              <w:right w:val="nil"/>
            </w:tcBorders>
            <w:shd w:val="clear" w:color="auto" w:fill="auto"/>
            <w:vAlign w:val="bottom"/>
            <w:hideMark/>
          </w:tcPr>
          <w:p w14:paraId="67B34DBF" w14:textId="77777777" w:rsidR="00190EC0" w:rsidRPr="00F35544" w:rsidRDefault="00190EC0" w:rsidP="00CC1B66">
            <w:pPr>
              <w:adjustRightInd w:val="0"/>
              <w:jc w:val="right"/>
              <w:rPr>
                <w:b/>
                <w:sz w:val="20"/>
              </w:rPr>
            </w:pPr>
            <w:r w:rsidRPr="00F35544">
              <w:rPr>
                <w:b/>
                <w:sz w:val="20"/>
              </w:rPr>
              <w:t xml:space="preserve">Number </w:t>
            </w:r>
          </w:p>
        </w:tc>
      </w:tr>
      <w:tr w:rsidR="000F0DEB" w:rsidRPr="00F35544" w14:paraId="3D2DD6CE" w14:textId="77777777" w:rsidTr="00452D9E">
        <w:trPr>
          <w:trHeight w:val="187"/>
        </w:trPr>
        <w:tc>
          <w:tcPr>
            <w:tcW w:w="4320" w:type="dxa"/>
            <w:tcBorders>
              <w:top w:val="nil"/>
              <w:left w:val="nil"/>
              <w:bottom w:val="nil"/>
              <w:right w:val="nil"/>
            </w:tcBorders>
            <w:shd w:val="clear" w:color="auto" w:fill="auto"/>
            <w:noWrap/>
            <w:vAlign w:val="bottom"/>
            <w:hideMark/>
          </w:tcPr>
          <w:p w14:paraId="64E45161" w14:textId="77777777" w:rsidR="00190EC0" w:rsidRPr="00F35544" w:rsidRDefault="00190EC0" w:rsidP="005F6D09">
            <w:pPr>
              <w:adjustRightInd w:val="0"/>
              <w:jc w:val="both"/>
              <w:rPr>
                <w:sz w:val="20"/>
              </w:rPr>
            </w:pPr>
            <w:r w:rsidRPr="00F35544">
              <w:rPr>
                <w:sz w:val="20"/>
              </w:rPr>
              <w:t xml:space="preserve">Common Shares, issued and outstanding </w:t>
            </w:r>
          </w:p>
        </w:tc>
        <w:tc>
          <w:tcPr>
            <w:tcW w:w="325" w:type="dxa"/>
            <w:tcBorders>
              <w:top w:val="nil"/>
              <w:left w:val="nil"/>
              <w:bottom w:val="nil"/>
              <w:right w:val="nil"/>
            </w:tcBorders>
            <w:shd w:val="clear" w:color="auto" w:fill="auto"/>
            <w:noWrap/>
            <w:vAlign w:val="bottom"/>
            <w:hideMark/>
          </w:tcPr>
          <w:p w14:paraId="2612EA3B" w14:textId="77777777" w:rsidR="00190EC0" w:rsidRPr="00F35544" w:rsidRDefault="00190EC0" w:rsidP="005F6D09">
            <w:pPr>
              <w:adjustRightInd w:val="0"/>
              <w:jc w:val="both"/>
              <w:rPr>
                <w:sz w:val="20"/>
              </w:rPr>
            </w:pPr>
          </w:p>
        </w:tc>
        <w:tc>
          <w:tcPr>
            <w:tcW w:w="1250" w:type="dxa"/>
            <w:tcBorders>
              <w:top w:val="nil"/>
              <w:left w:val="nil"/>
              <w:bottom w:val="nil"/>
              <w:right w:val="nil"/>
            </w:tcBorders>
            <w:shd w:val="clear" w:color="auto" w:fill="auto"/>
            <w:noWrap/>
            <w:vAlign w:val="bottom"/>
          </w:tcPr>
          <w:p w14:paraId="3EB093CE" w14:textId="77777777" w:rsidR="00190EC0" w:rsidRPr="00F35544" w:rsidRDefault="00190EC0" w:rsidP="005F6D09">
            <w:pPr>
              <w:adjustRightInd w:val="0"/>
              <w:jc w:val="both"/>
              <w:rPr>
                <w:sz w:val="20"/>
              </w:rPr>
            </w:pPr>
          </w:p>
        </w:tc>
        <w:tc>
          <w:tcPr>
            <w:tcW w:w="1628" w:type="dxa"/>
            <w:tcBorders>
              <w:top w:val="nil"/>
              <w:left w:val="nil"/>
              <w:bottom w:val="nil"/>
              <w:right w:val="nil"/>
            </w:tcBorders>
            <w:shd w:val="clear" w:color="auto" w:fill="auto"/>
            <w:noWrap/>
            <w:vAlign w:val="bottom"/>
          </w:tcPr>
          <w:p w14:paraId="17230C6C" w14:textId="77777777" w:rsidR="00190EC0" w:rsidRPr="00F35544" w:rsidRDefault="00190EC0" w:rsidP="005F6D09">
            <w:pPr>
              <w:adjustRightInd w:val="0"/>
              <w:jc w:val="both"/>
              <w:rPr>
                <w:sz w:val="20"/>
              </w:rPr>
            </w:pPr>
          </w:p>
        </w:tc>
        <w:tc>
          <w:tcPr>
            <w:tcW w:w="1945" w:type="dxa"/>
            <w:tcBorders>
              <w:top w:val="nil"/>
              <w:left w:val="nil"/>
              <w:bottom w:val="nil"/>
              <w:right w:val="nil"/>
            </w:tcBorders>
            <w:shd w:val="clear" w:color="auto" w:fill="auto"/>
            <w:noWrap/>
            <w:vAlign w:val="bottom"/>
          </w:tcPr>
          <w:p w14:paraId="36A042C2" w14:textId="77777777" w:rsidR="00190EC0" w:rsidRPr="00F35544" w:rsidRDefault="00D661E6" w:rsidP="00CC1B66">
            <w:pPr>
              <w:adjustRightInd w:val="0"/>
              <w:jc w:val="right"/>
              <w:rPr>
                <w:sz w:val="20"/>
              </w:rPr>
            </w:pPr>
            <w:r>
              <w:rPr>
                <w:sz w:val="20"/>
              </w:rPr>
              <w:t>103,080,140</w:t>
            </w:r>
          </w:p>
        </w:tc>
      </w:tr>
      <w:tr w:rsidR="00253C6F" w:rsidRPr="00F35544" w14:paraId="22306E7B" w14:textId="77777777" w:rsidTr="00452D9E">
        <w:trPr>
          <w:trHeight w:val="187"/>
        </w:trPr>
        <w:tc>
          <w:tcPr>
            <w:tcW w:w="4320" w:type="dxa"/>
            <w:tcBorders>
              <w:top w:val="nil"/>
              <w:left w:val="nil"/>
              <w:right w:val="nil"/>
            </w:tcBorders>
            <w:shd w:val="clear" w:color="auto" w:fill="auto"/>
            <w:noWrap/>
            <w:vAlign w:val="bottom"/>
          </w:tcPr>
          <w:p w14:paraId="22967DDF" w14:textId="77777777" w:rsidR="00190CA4" w:rsidRPr="00F35544" w:rsidRDefault="00190CA4" w:rsidP="005F6D09">
            <w:pPr>
              <w:adjustRightInd w:val="0"/>
              <w:jc w:val="both"/>
              <w:rPr>
                <w:sz w:val="20"/>
              </w:rPr>
            </w:pPr>
            <w:r w:rsidRPr="00F35544">
              <w:rPr>
                <w:sz w:val="20"/>
              </w:rPr>
              <w:t>Stock options convertible into common shares</w:t>
            </w:r>
          </w:p>
        </w:tc>
        <w:tc>
          <w:tcPr>
            <w:tcW w:w="325" w:type="dxa"/>
            <w:tcBorders>
              <w:top w:val="nil"/>
              <w:left w:val="nil"/>
              <w:right w:val="nil"/>
            </w:tcBorders>
            <w:shd w:val="clear" w:color="auto" w:fill="auto"/>
            <w:noWrap/>
            <w:vAlign w:val="bottom"/>
          </w:tcPr>
          <w:p w14:paraId="0267901C" w14:textId="77777777" w:rsidR="00190CA4" w:rsidRPr="00F35544" w:rsidRDefault="00190CA4" w:rsidP="005F6D09">
            <w:pPr>
              <w:adjustRightInd w:val="0"/>
              <w:jc w:val="both"/>
              <w:rPr>
                <w:sz w:val="20"/>
              </w:rPr>
            </w:pPr>
          </w:p>
        </w:tc>
        <w:tc>
          <w:tcPr>
            <w:tcW w:w="1250" w:type="dxa"/>
            <w:tcBorders>
              <w:top w:val="nil"/>
              <w:left w:val="nil"/>
              <w:right w:val="nil"/>
            </w:tcBorders>
            <w:shd w:val="clear" w:color="auto" w:fill="auto"/>
            <w:noWrap/>
            <w:vAlign w:val="bottom"/>
          </w:tcPr>
          <w:p w14:paraId="5A102935" w14:textId="77777777" w:rsidR="00190CA4" w:rsidRPr="00F35544" w:rsidRDefault="00190CA4" w:rsidP="005F6D09">
            <w:pPr>
              <w:adjustRightInd w:val="0"/>
              <w:jc w:val="both"/>
              <w:rPr>
                <w:sz w:val="20"/>
              </w:rPr>
            </w:pPr>
          </w:p>
        </w:tc>
        <w:tc>
          <w:tcPr>
            <w:tcW w:w="1628" w:type="dxa"/>
            <w:tcBorders>
              <w:top w:val="nil"/>
              <w:left w:val="nil"/>
              <w:right w:val="nil"/>
            </w:tcBorders>
            <w:shd w:val="clear" w:color="auto" w:fill="auto"/>
            <w:noWrap/>
            <w:vAlign w:val="bottom"/>
          </w:tcPr>
          <w:p w14:paraId="3909C873" w14:textId="77777777" w:rsidR="00190CA4" w:rsidRPr="00F35544" w:rsidRDefault="00190CA4" w:rsidP="005F6D09">
            <w:pPr>
              <w:adjustRightInd w:val="0"/>
              <w:jc w:val="both"/>
              <w:rPr>
                <w:sz w:val="20"/>
              </w:rPr>
            </w:pPr>
          </w:p>
        </w:tc>
        <w:tc>
          <w:tcPr>
            <w:tcW w:w="1945" w:type="dxa"/>
            <w:tcBorders>
              <w:top w:val="nil"/>
              <w:left w:val="nil"/>
              <w:right w:val="nil"/>
            </w:tcBorders>
            <w:shd w:val="clear" w:color="auto" w:fill="auto"/>
            <w:noWrap/>
            <w:vAlign w:val="bottom"/>
          </w:tcPr>
          <w:p w14:paraId="475BA75D" w14:textId="33A17E43" w:rsidR="00190CA4" w:rsidRPr="00F35544" w:rsidRDefault="00FA50D4" w:rsidP="00CC1B66">
            <w:pPr>
              <w:adjustRightInd w:val="0"/>
              <w:jc w:val="right"/>
              <w:rPr>
                <w:sz w:val="20"/>
              </w:rPr>
            </w:pPr>
            <w:r>
              <w:rPr>
                <w:sz w:val="20"/>
              </w:rPr>
              <w:t>9,</w:t>
            </w:r>
            <w:r w:rsidR="008D6794">
              <w:rPr>
                <w:sz w:val="20"/>
              </w:rPr>
              <w:t>350,000</w:t>
            </w:r>
          </w:p>
        </w:tc>
      </w:tr>
      <w:tr w:rsidR="00253C6F" w:rsidRPr="00F35544" w14:paraId="0BCDBF14" w14:textId="77777777" w:rsidTr="00452D9E">
        <w:trPr>
          <w:trHeight w:val="187"/>
        </w:trPr>
        <w:tc>
          <w:tcPr>
            <w:tcW w:w="4320" w:type="dxa"/>
            <w:tcBorders>
              <w:top w:val="nil"/>
              <w:left w:val="nil"/>
              <w:bottom w:val="double" w:sz="4" w:space="0" w:color="auto"/>
              <w:right w:val="nil"/>
            </w:tcBorders>
            <w:shd w:val="clear" w:color="auto" w:fill="auto"/>
            <w:noWrap/>
            <w:vAlign w:val="bottom"/>
          </w:tcPr>
          <w:p w14:paraId="370B3A67" w14:textId="77777777" w:rsidR="00B8502A" w:rsidRPr="00F35544" w:rsidRDefault="00B8502A" w:rsidP="005F6D09">
            <w:pPr>
              <w:adjustRightInd w:val="0"/>
              <w:jc w:val="both"/>
              <w:rPr>
                <w:sz w:val="20"/>
              </w:rPr>
            </w:pPr>
            <w:r w:rsidRPr="00F35544">
              <w:rPr>
                <w:sz w:val="20"/>
              </w:rPr>
              <w:t>Warrants</w:t>
            </w:r>
          </w:p>
        </w:tc>
        <w:tc>
          <w:tcPr>
            <w:tcW w:w="325" w:type="dxa"/>
            <w:tcBorders>
              <w:top w:val="nil"/>
              <w:left w:val="nil"/>
              <w:bottom w:val="double" w:sz="4" w:space="0" w:color="auto"/>
              <w:right w:val="nil"/>
            </w:tcBorders>
            <w:shd w:val="clear" w:color="auto" w:fill="auto"/>
            <w:noWrap/>
            <w:vAlign w:val="bottom"/>
          </w:tcPr>
          <w:p w14:paraId="44CC5377" w14:textId="77777777" w:rsidR="00B8502A" w:rsidRPr="00F35544" w:rsidRDefault="00B8502A" w:rsidP="005F6D09">
            <w:pPr>
              <w:adjustRightInd w:val="0"/>
              <w:jc w:val="both"/>
              <w:rPr>
                <w:sz w:val="20"/>
              </w:rPr>
            </w:pPr>
          </w:p>
        </w:tc>
        <w:tc>
          <w:tcPr>
            <w:tcW w:w="1250" w:type="dxa"/>
            <w:tcBorders>
              <w:top w:val="nil"/>
              <w:left w:val="nil"/>
              <w:bottom w:val="double" w:sz="4" w:space="0" w:color="auto"/>
              <w:right w:val="nil"/>
            </w:tcBorders>
            <w:shd w:val="clear" w:color="auto" w:fill="auto"/>
            <w:noWrap/>
            <w:vAlign w:val="bottom"/>
          </w:tcPr>
          <w:p w14:paraId="6DAAD219" w14:textId="77777777" w:rsidR="00B8502A" w:rsidRPr="00F35544" w:rsidRDefault="00B8502A" w:rsidP="005F6D09">
            <w:pPr>
              <w:adjustRightInd w:val="0"/>
              <w:jc w:val="both"/>
              <w:rPr>
                <w:sz w:val="20"/>
              </w:rPr>
            </w:pPr>
          </w:p>
        </w:tc>
        <w:tc>
          <w:tcPr>
            <w:tcW w:w="1628" w:type="dxa"/>
            <w:tcBorders>
              <w:top w:val="nil"/>
              <w:left w:val="nil"/>
              <w:bottom w:val="double" w:sz="4" w:space="0" w:color="auto"/>
              <w:right w:val="nil"/>
            </w:tcBorders>
            <w:shd w:val="clear" w:color="auto" w:fill="auto"/>
            <w:noWrap/>
            <w:vAlign w:val="bottom"/>
          </w:tcPr>
          <w:p w14:paraId="4D4AE911" w14:textId="77777777" w:rsidR="00B8502A" w:rsidRPr="00F35544" w:rsidRDefault="00B8502A" w:rsidP="005F6D09">
            <w:pPr>
              <w:adjustRightInd w:val="0"/>
              <w:jc w:val="both"/>
              <w:rPr>
                <w:sz w:val="20"/>
              </w:rPr>
            </w:pPr>
          </w:p>
        </w:tc>
        <w:tc>
          <w:tcPr>
            <w:tcW w:w="1945" w:type="dxa"/>
            <w:tcBorders>
              <w:top w:val="nil"/>
              <w:left w:val="nil"/>
              <w:bottom w:val="double" w:sz="4" w:space="0" w:color="auto"/>
              <w:right w:val="nil"/>
            </w:tcBorders>
            <w:shd w:val="clear" w:color="auto" w:fill="auto"/>
            <w:noWrap/>
            <w:vAlign w:val="bottom"/>
          </w:tcPr>
          <w:p w14:paraId="4DDBFEE0" w14:textId="77777777" w:rsidR="00B8502A" w:rsidRPr="00F35544" w:rsidRDefault="00452D9E" w:rsidP="00CC1B66">
            <w:pPr>
              <w:adjustRightInd w:val="0"/>
              <w:jc w:val="right"/>
              <w:rPr>
                <w:sz w:val="20"/>
              </w:rPr>
            </w:pPr>
            <w:r>
              <w:rPr>
                <w:sz w:val="20"/>
              </w:rPr>
              <w:t>11,555,556</w:t>
            </w:r>
          </w:p>
        </w:tc>
      </w:tr>
    </w:tbl>
    <w:p w14:paraId="6F2824B9" w14:textId="77777777" w:rsidR="00636A42" w:rsidRPr="00F35544" w:rsidRDefault="00636A42" w:rsidP="00636A42">
      <w:pPr>
        <w:adjustRightInd w:val="0"/>
        <w:ind w:left="66"/>
        <w:rPr>
          <w:sz w:val="20"/>
          <w:highlight w:val="yellow"/>
        </w:rPr>
      </w:pPr>
    </w:p>
    <w:p w14:paraId="7215D1D4" w14:textId="771F4D51" w:rsidR="000928F5" w:rsidRPr="00F35544" w:rsidRDefault="0056792B" w:rsidP="008B069B">
      <w:pPr>
        <w:autoSpaceDE w:val="0"/>
        <w:autoSpaceDN w:val="0"/>
        <w:adjustRightInd w:val="0"/>
        <w:jc w:val="both"/>
        <w:rPr>
          <w:sz w:val="20"/>
        </w:rPr>
      </w:pPr>
      <w:r w:rsidRPr="00F35544">
        <w:rPr>
          <w:b/>
          <w:caps/>
          <w:sz w:val="20"/>
        </w:rPr>
        <w:t>R</w:t>
      </w:r>
      <w:r w:rsidR="000928F5" w:rsidRPr="00F35544">
        <w:rPr>
          <w:b/>
          <w:caps/>
          <w:sz w:val="20"/>
        </w:rPr>
        <w:t>ISKS AND UNCERTAINTIES</w:t>
      </w:r>
    </w:p>
    <w:p w14:paraId="4A1F9F56" w14:textId="77777777" w:rsidR="008B069B" w:rsidRPr="00F35544" w:rsidRDefault="008B069B" w:rsidP="008B069B">
      <w:pPr>
        <w:adjustRightInd w:val="0"/>
        <w:rPr>
          <w:b/>
          <w:sz w:val="20"/>
        </w:rPr>
      </w:pPr>
    </w:p>
    <w:p w14:paraId="3A3080AE" w14:textId="77777777" w:rsidR="000928F5" w:rsidRPr="00F35544" w:rsidRDefault="000928F5" w:rsidP="008B069B">
      <w:pPr>
        <w:adjustRightInd w:val="0"/>
        <w:rPr>
          <w:b/>
          <w:sz w:val="20"/>
        </w:rPr>
      </w:pPr>
      <w:r w:rsidRPr="00F35544">
        <w:rPr>
          <w:b/>
          <w:sz w:val="20"/>
        </w:rPr>
        <w:t>Early Stage – Need for Additional Funds</w:t>
      </w:r>
    </w:p>
    <w:p w14:paraId="71C57643" w14:textId="77777777" w:rsidR="008B069B" w:rsidRPr="00F35544" w:rsidRDefault="008B069B" w:rsidP="008B069B">
      <w:pPr>
        <w:adjustRightInd w:val="0"/>
        <w:jc w:val="both"/>
        <w:rPr>
          <w:sz w:val="20"/>
        </w:rPr>
      </w:pPr>
    </w:p>
    <w:p w14:paraId="68D256E4" w14:textId="05025B3E" w:rsidR="00FA06A6" w:rsidRDefault="000928F5" w:rsidP="00965C9A">
      <w:pPr>
        <w:adjustRightInd w:val="0"/>
        <w:jc w:val="both"/>
        <w:rPr>
          <w:b/>
          <w:sz w:val="20"/>
        </w:rPr>
      </w:pPr>
      <w:r w:rsidRPr="00F35544">
        <w:rPr>
          <w:sz w:val="20"/>
        </w:rPr>
        <w:t>The Company has no history of profitable operations and its present business is at an early stage. As such, the Company is subject to many risks common to such enterprises, including undercapitalization, cash shortages and limitations with respect to personnel, financial and other resources and the lack of revenues. There is no assurance that the Company will be successful in achieving a return on shareholders’ investments and the likelihood of success must be considered in light of its early stage of operations. The Company has no source of operating cash flow and no assurance that additional funding will be available to it for further exploration and development of its projects when required. Although the Company has been successful in the past in obtaining financing through the sale of equity securities, there can be no assurance that the Company will be able to obtain adequate financing in the future or that the terms of such financing will be favorable, especially in today’s volatile and uncertain financial markets. Failure to obtain such additional financing could result in the delay or indefinite postponement of further exploration and development of its properties.</w:t>
      </w:r>
    </w:p>
    <w:p w14:paraId="4673037C" w14:textId="77777777" w:rsidR="00965C9A" w:rsidRDefault="00965C9A" w:rsidP="00965C9A">
      <w:pPr>
        <w:adjustRightInd w:val="0"/>
        <w:jc w:val="both"/>
        <w:rPr>
          <w:b/>
          <w:sz w:val="20"/>
        </w:rPr>
      </w:pPr>
    </w:p>
    <w:p w14:paraId="47B89D60" w14:textId="4E18A56E" w:rsidR="005E4832" w:rsidRDefault="005E4832" w:rsidP="00FA06A6">
      <w:pPr>
        <w:jc w:val="both"/>
        <w:rPr>
          <w:b/>
          <w:sz w:val="20"/>
        </w:rPr>
      </w:pPr>
      <w:r>
        <w:rPr>
          <w:b/>
          <w:sz w:val="20"/>
        </w:rPr>
        <w:t>COVID-19</w:t>
      </w:r>
    </w:p>
    <w:p w14:paraId="228F4381" w14:textId="142B342E" w:rsidR="005E4832" w:rsidRDefault="005E4832" w:rsidP="00FA06A6">
      <w:pPr>
        <w:jc w:val="both"/>
        <w:rPr>
          <w:b/>
          <w:sz w:val="20"/>
        </w:rPr>
      </w:pPr>
    </w:p>
    <w:p w14:paraId="0B618DFF" w14:textId="66009BE6" w:rsidR="005E4832" w:rsidRDefault="005E4832" w:rsidP="00FA06A6">
      <w:pPr>
        <w:jc w:val="both"/>
        <w:rPr>
          <w:sz w:val="20"/>
        </w:rPr>
      </w:pPr>
      <w:r w:rsidRPr="005E4832">
        <w:rPr>
          <w:sz w:val="20"/>
        </w:rPr>
        <w:t xml:space="preserve">In March 2020, the World Health Organization declared the outbreak of COVID-19 a global pandemic. Government measures to limit the spread of COVID-19, including the closure of non-essential businesses, did not materially disrupt the Company’s operations during </w:t>
      </w:r>
      <w:r w:rsidR="008D6794">
        <w:rPr>
          <w:sz w:val="20"/>
        </w:rPr>
        <w:t>the period</w:t>
      </w:r>
      <w:r>
        <w:rPr>
          <w:sz w:val="20"/>
        </w:rPr>
        <w:t xml:space="preserve"> ended </w:t>
      </w:r>
      <w:r w:rsidR="008D6794">
        <w:rPr>
          <w:sz w:val="20"/>
        </w:rPr>
        <w:t>June 30</w:t>
      </w:r>
      <w:r>
        <w:rPr>
          <w:sz w:val="20"/>
        </w:rPr>
        <w:t>, 2020</w:t>
      </w:r>
      <w:r w:rsidRPr="005E4832">
        <w:rPr>
          <w:sz w:val="20"/>
        </w:rPr>
        <w:t xml:space="preserve">. As at </w:t>
      </w:r>
      <w:r w:rsidR="008D6794">
        <w:rPr>
          <w:sz w:val="20"/>
        </w:rPr>
        <w:t>June 30</w:t>
      </w:r>
      <w:r w:rsidRPr="005E4832">
        <w:rPr>
          <w:sz w:val="20"/>
        </w:rPr>
        <w:t xml:space="preserve">, 2020, we have also not </w:t>
      </w:r>
      <w:r w:rsidRPr="005E4832">
        <w:rPr>
          <w:sz w:val="20"/>
        </w:rPr>
        <w:lastRenderedPageBreak/>
        <w:t xml:space="preserve">observed any material impairments of our assets or a significant change in the fair value of assets due to the COVID-19 pandemic. </w:t>
      </w:r>
    </w:p>
    <w:p w14:paraId="023230A0" w14:textId="77777777" w:rsidR="005E4832" w:rsidRDefault="005E4832" w:rsidP="00FA06A6">
      <w:pPr>
        <w:jc w:val="both"/>
        <w:rPr>
          <w:sz w:val="20"/>
        </w:rPr>
      </w:pPr>
    </w:p>
    <w:p w14:paraId="587D7B36" w14:textId="27DBBC19" w:rsidR="005E4832" w:rsidRPr="005E4832" w:rsidRDefault="005E4832" w:rsidP="00FA06A6">
      <w:pPr>
        <w:jc w:val="both"/>
        <w:rPr>
          <w:sz w:val="20"/>
        </w:rPr>
      </w:pPr>
      <w:r w:rsidRPr="005E4832">
        <w:rPr>
          <w:sz w:val="20"/>
        </w:rPr>
        <w:t>Due to the rapid developments and uncertainty surrounding COVID-19, it is not possible to predict the impact that COVID-19 will have on our business, financial position and operating results in the future. In addition, it is possible that estimates in the Company’s financial statements will change in the near term as a result of COVID-19 and the effect of any such changes could be material. The Company is closely monitoring the impact of the pandemic on all aspects of its business.</w:t>
      </w:r>
    </w:p>
    <w:p w14:paraId="45293F27" w14:textId="77777777" w:rsidR="00FA06A6" w:rsidRDefault="00FA06A6" w:rsidP="008B069B">
      <w:pPr>
        <w:jc w:val="both"/>
        <w:rPr>
          <w:b/>
          <w:sz w:val="20"/>
        </w:rPr>
      </w:pPr>
    </w:p>
    <w:p w14:paraId="44B213D6" w14:textId="77777777" w:rsidR="00965C9A" w:rsidRDefault="00965C9A" w:rsidP="00965C9A">
      <w:pPr>
        <w:jc w:val="both"/>
        <w:rPr>
          <w:b/>
          <w:sz w:val="20"/>
        </w:rPr>
      </w:pPr>
      <w:r w:rsidRPr="00F35544">
        <w:rPr>
          <w:b/>
          <w:sz w:val="20"/>
        </w:rPr>
        <w:t>RISKS AND UNCERTAINTIES (CONTINUED)</w:t>
      </w:r>
    </w:p>
    <w:p w14:paraId="14D439C3" w14:textId="77777777" w:rsidR="00965C9A" w:rsidRDefault="00965C9A" w:rsidP="008B069B">
      <w:pPr>
        <w:jc w:val="both"/>
        <w:rPr>
          <w:b/>
          <w:sz w:val="20"/>
        </w:rPr>
      </w:pPr>
      <w:bookmarkStart w:id="7" w:name="_GoBack"/>
      <w:bookmarkEnd w:id="7"/>
    </w:p>
    <w:p w14:paraId="5F9EEDAA" w14:textId="559EB8ED" w:rsidR="00373DF8" w:rsidRPr="00F35544" w:rsidRDefault="00373DF8" w:rsidP="008B069B">
      <w:pPr>
        <w:jc w:val="both"/>
        <w:rPr>
          <w:b/>
          <w:sz w:val="20"/>
        </w:rPr>
      </w:pPr>
      <w:r w:rsidRPr="00F35544">
        <w:rPr>
          <w:b/>
          <w:sz w:val="20"/>
        </w:rPr>
        <w:t>Exploration and Development</w:t>
      </w:r>
    </w:p>
    <w:p w14:paraId="6F107596" w14:textId="77777777" w:rsidR="008B069B" w:rsidRPr="00F35544" w:rsidRDefault="008B069B" w:rsidP="008B069B">
      <w:pPr>
        <w:jc w:val="both"/>
        <w:rPr>
          <w:sz w:val="20"/>
        </w:rPr>
      </w:pPr>
    </w:p>
    <w:p w14:paraId="657BEBBC" w14:textId="77777777" w:rsidR="00373DF8" w:rsidRPr="00F35544" w:rsidRDefault="00373DF8" w:rsidP="008B069B">
      <w:pPr>
        <w:jc w:val="both"/>
        <w:rPr>
          <w:sz w:val="20"/>
        </w:rPr>
      </w:pPr>
      <w:r w:rsidRPr="00F35544">
        <w:rPr>
          <w:sz w:val="20"/>
        </w:rPr>
        <w:t>Exploration for minerals is a speculative venture involving substantial risk. There is no certainty that the expenditures made by the Company and/or its subsidiaries will result in discoveries of commercial metal reserves.</w:t>
      </w:r>
    </w:p>
    <w:p w14:paraId="5E0F6908" w14:textId="77777777" w:rsidR="00C37657" w:rsidRPr="00F35544" w:rsidRDefault="00C37657" w:rsidP="008B069B">
      <w:pPr>
        <w:jc w:val="both"/>
        <w:rPr>
          <w:sz w:val="20"/>
        </w:rPr>
      </w:pPr>
    </w:p>
    <w:p w14:paraId="103D3AAA" w14:textId="77777777" w:rsidR="00577D9A" w:rsidRPr="00F35544" w:rsidRDefault="00373DF8" w:rsidP="00577D9A">
      <w:pPr>
        <w:jc w:val="both"/>
        <w:rPr>
          <w:sz w:val="20"/>
        </w:rPr>
      </w:pPr>
      <w:r w:rsidRPr="00F35544">
        <w:rPr>
          <w:sz w:val="20"/>
        </w:rPr>
        <w:t xml:space="preserve">Mining and development risks always accompany anticipated rewards, and uncertainties always exist where mineral properties are concerned. Uncertainties include the size, grade and recovery of naturally occurring mineral deposits. Although exploration and development efforts can outline a mineral deposit with a degree </w:t>
      </w:r>
      <w:r w:rsidR="000928F5" w:rsidRPr="00F35544">
        <w:rPr>
          <w:sz w:val="20"/>
        </w:rPr>
        <w:t>of certainty, ultimate grade and tonnages are never fully known un</w:t>
      </w:r>
      <w:r w:rsidR="0092431C" w:rsidRPr="00F35544">
        <w:rPr>
          <w:sz w:val="20"/>
        </w:rPr>
        <w:t xml:space="preserve">til mining has been completed. </w:t>
      </w:r>
      <w:r w:rsidR="000928F5" w:rsidRPr="00F35544">
        <w:rPr>
          <w:sz w:val="20"/>
        </w:rPr>
        <w:t>Metal prices are also a significant factor in the development decision for a mineral property, as a mine may not be economically feasible in a peri</w:t>
      </w:r>
      <w:r w:rsidR="006547B7" w:rsidRPr="00F35544">
        <w:rPr>
          <w:sz w:val="20"/>
        </w:rPr>
        <w:t>od of depressed prices. Factors</w:t>
      </w:r>
      <w:r w:rsidR="000928F5" w:rsidRPr="00F35544">
        <w:rPr>
          <w:sz w:val="20"/>
        </w:rPr>
        <w:t xml:space="preserve"> beyond the control of the Company may affect the marketability of any minerals discovered. Pricing is affected by numerous factors such as international economic and political trends, global or regional consumption and demand patterns, and </w:t>
      </w:r>
      <w:r w:rsidR="00577D9A" w:rsidRPr="00F35544">
        <w:rPr>
          <w:sz w:val="20"/>
        </w:rPr>
        <w:t>increased production by current producers.</w:t>
      </w:r>
    </w:p>
    <w:p w14:paraId="18004EAC" w14:textId="77777777" w:rsidR="00577D9A" w:rsidRPr="00F35544" w:rsidRDefault="00577D9A" w:rsidP="00C37657">
      <w:pPr>
        <w:jc w:val="both"/>
        <w:rPr>
          <w:sz w:val="20"/>
        </w:rPr>
      </w:pPr>
    </w:p>
    <w:p w14:paraId="5ED6D7D3" w14:textId="77777777" w:rsidR="0031204B" w:rsidRPr="00F35544" w:rsidRDefault="0031204B" w:rsidP="0031204B">
      <w:pPr>
        <w:adjustRightInd w:val="0"/>
        <w:rPr>
          <w:b/>
          <w:sz w:val="20"/>
        </w:rPr>
      </w:pPr>
      <w:r w:rsidRPr="00F35544">
        <w:rPr>
          <w:b/>
          <w:sz w:val="20"/>
        </w:rPr>
        <w:t>Operating Hazards and Risks</w:t>
      </w:r>
    </w:p>
    <w:p w14:paraId="7322B475" w14:textId="77777777" w:rsidR="0031204B" w:rsidRPr="00F35544" w:rsidRDefault="0031204B" w:rsidP="00C37657">
      <w:pPr>
        <w:jc w:val="both"/>
        <w:rPr>
          <w:sz w:val="20"/>
        </w:rPr>
      </w:pPr>
    </w:p>
    <w:p w14:paraId="1571E18B" w14:textId="77777777" w:rsidR="000928F5" w:rsidRPr="00F35544" w:rsidRDefault="000928F5" w:rsidP="00C37657">
      <w:pPr>
        <w:jc w:val="both"/>
        <w:rPr>
          <w:sz w:val="20"/>
        </w:rPr>
      </w:pPr>
      <w:r w:rsidRPr="00F35544">
        <w:rPr>
          <w:sz w:val="20"/>
        </w:rPr>
        <w:t>Mining operations involve many risks, which even a combination of experience, knowledge and careful evaluation may not be able to overcome. In the course of exploration, development and production of mineral properties, certain risks, and in particular, unexpected or unusual geological operating conditions including rock bursts, cave-ins, fires, flooding and earthquakes may occur. Operations in which the Company has a direct or indirect interest will be subject to all the hazards and risks normally incidental to exploration, development and production of metals, any of which could result in damage to or destruction of mines and other producing facilities, damage to life and property, environmental damage and possible legal liability for any or all damage.</w:t>
      </w:r>
    </w:p>
    <w:p w14:paraId="4CE660D8" w14:textId="77777777" w:rsidR="00C37657" w:rsidRPr="00F35544" w:rsidRDefault="00C37657" w:rsidP="00C37657">
      <w:pPr>
        <w:adjustRightInd w:val="0"/>
        <w:rPr>
          <w:b/>
          <w:sz w:val="20"/>
        </w:rPr>
      </w:pPr>
    </w:p>
    <w:p w14:paraId="3D1E2605" w14:textId="77777777" w:rsidR="00123DC8" w:rsidRPr="00F35544" w:rsidRDefault="00123DC8" w:rsidP="00C37657">
      <w:pPr>
        <w:adjustRightInd w:val="0"/>
        <w:rPr>
          <w:b/>
          <w:sz w:val="20"/>
        </w:rPr>
      </w:pPr>
      <w:r w:rsidRPr="00F35544">
        <w:rPr>
          <w:b/>
          <w:sz w:val="20"/>
        </w:rPr>
        <w:t>Foreign Country and Political Risk</w:t>
      </w:r>
    </w:p>
    <w:p w14:paraId="48A568B4" w14:textId="77777777" w:rsidR="00C37657" w:rsidRPr="00F35544" w:rsidRDefault="00C37657" w:rsidP="00C37657">
      <w:pPr>
        <w:jc w:val="both"/>
        <w:rPr>
          <w:sz w:val="20"/>
        </w:rPr>
      </w:pPr>
    </w:p>
    <w:p w14:paraId="0CAEA7E5" w14:textId="35C47AAB" w:rsidR="00123DC8" w:rsidRDefault="00123DC8" w:rsidP="00C37657">
      <w:pPr>
        <w:jc w:val="both"/>
        <w:rPr>
          <w:sz w:val="20"/>
        </w:rPr>
      </w:pPr>
      <w:r w:rsidRPr="00F35544">
        <w:rPr>
          <w:sz w:val="20"/>
        </w:rPr>
        <w:t xml:space="preserve">The Company </w:t>
      </w:r>
      <w:r w:rsidR="000543A3" w:rsidRPr="00F35544">
        <w:rPr>
          <w:sz w:val="20"/>
        </w:rPr>
        <w:t>might from time to time</w:t>
      </w:r>
      <w:r w:rsidRPr="00F35544">
        <w:rPr>
          <w:sz w:val="20"/>
        </w:rPr>
        <w:t xml:space="preserve"> pursu</w:t>
      </w:r>
      <w:r w:rsidR="000543A3" w:rsidRPr="00F35544">
        <w:rPr>
          <w:sz w:val="20"/>
        </w:rPr>
        <w:t>e</w:t>
      </w:r>
      <w:r w:rsidRPr="00F35544">
        <w:rPr>
          <w:sz w:val="20"/>
        </w:rPr>
        <w:t xml:space="preserve"> mineral properties</w:t>
      </w:r>
      <w:r w:rsidR="000543A3" w:rsidRPr="00F35544">
        <w:rPr>
          <w:sz w:val="20"/>
        </w:rPr>
        <w:t xml:space="preserve"> </w:t>
      </w:r>
      <w:r w:rsidR="008529B3" w:rsidRPr="00F35544">
        <w:rPr>
          <w:sz w:val="20"/>
        </w:rPr>
        <w:t xml:space="preserve">in </w:t>
      </w:r>
      <w:r w:rsidR="000543A3" w:rsidRPr="00F35544">
        <w:rPr>
          <w:sz w:val="20"/>
        </w:rPr>
        <w:t>unstable</w:t>
      </w:r>
      <w:r w:rsidRPr="00F35544">
        <w:rPr>
          <w:sz w:val="20"/>
        </w:rPr>
        <w:t xml:space="preserve"> </w:t>
      </w:r>
      <w:r w:rsidR="000543A3" w:rsidRPr="00F35544">
        <w:rPr>
          <w:sz w:val="20"/>
        </w:rPr>
        <w:t>political or economic countries</w:t>
      </w:r>
      <w:r w:rsidRPr="00F35544">
        <w:rPr>
          <w:sz w:val="20"/>
        </w:rPr>
        <w:t xml:space="preserve">. </w:t>
      </w:r>
      <w:r w:rsidR="001512CC" w:rsidRPr="00F35544">
        <w:rPr>
          <w:sz w:val="20"/>
        </w:rPr>
        <w:t>T</w:t>
      </w:r>
      <w:r w:rsidRPr="00F35544">
        <w:rPr>
          <w:sz w:val="20"/>
        </w:rPr>
        <w:t xml:space="preserve">he Company </w:t>
      </w:r>
      <w:r w:rsidR="008529B3" w:rsidRPr="00F35544">
        <w:rPr>
          <w:sz w:val="20"/>
        </w:rPr>
        <w:t>would be</w:t>
      </w:r>
      <w:r w:rsidRPr="00F35544">
        <w:rPr>
          <w:sz w:val="20"/>
        </w:rPr>
        <w:t xml:space="preserve"> subject to certain risks, including currency fluctuations and possible political or economic instability in </w:t>
      </w:r>
      <w:r w:rsidR="008529B3" w:rsidRPr="00F35544">
        <w:rPr>
          <w:sz w:val="20"/>
        </w:rPr>
        <w:t>certain jurisdictions</w:t>
      </w:r>
      <w:r w:rsidRPr="00F35544">
        <w:rPr>
          <w:sz w:val="20"/>
        </w:rPr>
        <w:t xml:space="preserve">, which may result in the impairment or loss of mineral concessions or other mineral rights. Mineral exploration and mining activities may be affected in varying degrees by political instability and government regulations relating to the mining industry. Any changes in regulations or shifts in political attitudes may also adversely affect the Company’s business. Exploration may be affected in varying degrees by government regulations with respect to restrictions on future exploitation and production, price controls, export controls, foreign exchange controls, income taxes, expropriation of property, environmental legislation and mine and/or site safety. The Company does not presently </w:t>
      </w:r>
      <w:r w:rsidR="008529B3" w:rsidRPr="00F35544">
        <w:rPr>
          <w:sz w:val="20"/>
        </w:rPr>
        <w:t xml:space="preserve">own/pursue </w:t>
      </w:r>
      <w:r w:rsidRPr="00F35544">
        <w:rPr>
          <w:sz w:val="20"/>
        </w:rPr>
        <w:t xml:space="preserve">foreign exploration projects. </w:t>
      </w:r>
    </w:p>
    <w:p w14:paraId="7807E4B8" w14:textId="6D551B66" w:rsidR="0025363C" w:rsidRDefault="005E4832" w:rsidP="00C37657">
      <w:pPr>
        <w:adjustRightInd w:val="0"/>
        <w:rPr>
          <w:b/>
          <w:sz w:val="20"/>
        </w:rPr>
      </w:pPr>
      <w:r>
        <w:rPr>
          <w:b/>
          <w:sz w:val="20"/>
        </w:rPr>
        <w:br w:type="page"/>
      </w:r>
      <w:r w:rsidRPr="00F35544">
        <w:rPr>
          <w:b/>
          <w:sz w:val="20"/>
        </w:rPr>
        <w:lastRenderedPageBreak/>
        <w:t>RISKS AND UNCERTAINTIES (CONTINUED)</w:t>
      </w:r>
    </w:p>
    <w:p w14:paraId="75090CDD" w14:textId="77777777" w:rsidR="005E4832" w:rsidRPr="00F35544" w:rsidRDefault="005E4832" w:rsidP="00C37657">
      <w:pPr>
        <w:adjustRightInd w:val="0"/>
        <w:rPr>
          <w:b/>
          <w:sz w:val="20"/>
        </w:rPr>
      </w:pPr>
    </w:p>
    <w:p w14:paraId="31124209" w14:textId="77777777" w:rsidR="00FA06A6" w:rsidRPr="00F35544" w:rsidRDefault="00FA06A6" w:rsidP="00FA06A6">
      <w:pPr>
        <w:adjustRightInd w:val="0"/>
        <w:rPr>
          <w:b/>
          <w:sz w:val="20"/>
        </w:rPr>
      </w:pPr>
      <w:r w:rsidRPr="00F35544">
        <w:rPr>
          <w:b/>
          <w:sz w:val="20"/>
        </w:rPr>
        <w:t>Competition and Agreements with Other Parties</w:t>
      </w:r>
    </w:p>
    <w:p w14:paraId="247C319B" w14:textId="77777777" w:rsidR="00FA06A6" w:rsidRPr="00F35544" w:rsidRDefault="00FA06A6" w:rsidP="00FA06A6">
      <w:pPr>
        <w:jc w:val="both"/>
        <w:rPr>
          <w:sz w:val="20"/>
        </w:rPr>
      </w:pPr>
    </w:p>
    <w:p w14:paraId="4B87D515" w14:textId="77777777" w:rsidR="00FA06A6" w:rsidRPr="00F35544" w:rsidRDefault="00FA06A6" w:rsidP="00FA06A6">
      <w:pPr>
        <w:jc w:val="both"/>
        <w:rPr>
          <w:sz w:val="20"/>
        </w:rPr>
      </w:pPr>
      <w:r w:rsidRPr="00F35544">
        <w:rPr>
          <w:sz w:val="20"/>
        </w:rPr>
        <w:t>The mining industry is intensely competitive in all its phases. The Company competes with other companies that have greater financial resources and technical capacity. Competition could adversely affect the Company’s ability to acquire suitable properties or prospects in the future.</w:t>
      </w:r>
    </w:p>
    <w:p w14:paraId="3506754D" w14:textId="77777777" w:rsidR="00FA06A6" w:rsidRPr="00F35544" w:rsidRDefault="00FA06A6" w:rsidP="00FA06A6">
      <w:pPr>
        <w:jc w:val="both"/>
        <w:rPr>
          <w:sz w:val="20"/>
        </w:rPr>
      </w:pPr>
    </w:p>
    <w:p w14:paraId="53CEC950" w14:textId="1D3B8D0E" w:rsidR="00FA06A6" w:rsidRDefault="00FA06A6" w:rsidP="00FA06A6">
      <w:pPr>
        <w:jc w:val="both"/>
        <w:rPr>
          <w:sz w:val="20"/>
        </w:rPr>
      </w:pPr>
      <w:r w:rsidRPr="00F35544">
        <w:rPr>
          <w:sz w:val="20"/>
        </w:rPr>
        <w:t>The Company may, in the future, be unable to meet its share of costs incurred under agreements to which it is a party, and it may have its interest in the properties subject to such agreements reduced as a result. Also, if other parties to such agreements do not meet their share of such costs, the Company may not be able to finance the expenditures required to complete recommended programs.</w:t>
      </w:r>
    </w:p>
    <w:p w14:paraId="5FB8D0FB" w14:textId="77777777" w:rsidR="00FA06A6" w:rsidRDefault="00FA06A6" w:rsidP="005E4832">
      <w:pPr>
        <w:jc w:val="both"/>
        <w:rPr>
          <w:b/>
          <w:sz w:val="20"/>
        </w:rPr>
      </w:pPr>
    </w:p>
    <w:p w14:paraId="674F9673" w14:textId="0B0BD360" w:rsidR="000928F5" w:rsidRPr="00F35544" w:rsidRDefault="000928F5" w:rsidP="00C37657">
      <w:pPr>
        <w:adjustRightInd w:val="0"/>
        <w:rPr>
          <w:b/>
          <w:sz w:val="20"/>
        </w:rPr>
      </w:pPr>
      <w:r w:rsidRPr="00F35544">
        <w:rPr>
          <w:b/>
          <w:sz w:val="20"/>
        </w:rPr>
        <w:t>Environmental Regulations, Permits and Licenses</w:t>
      </w:r>
    </w:p>
    <w:p w14:paraId="734BB7BB" w14:textId="77777777" w:rsidR="00C37657" w:rsidRPr="00F35544" w:rsidRDefault="00C37657" w:rsidP="00C37657">
      <w:pPr>
        <w:adjustRightInd w:val="0"/>
        <w:jc w:val="both"/>
        <w:rPr>
          <w:sz w:val="20"/>
        </w:rPr>
      </w:pPr>
    </w:p>
    <w:p w14:paraId="3AD467BC" w14:textId="77777777" w:rsidR="000928F5" w:rsidRPr="00F35544" w:rsidRDefault="000928F5" w:rsidP="00C37657">
      <w:pPr>
        <w:adjustRightInd w:val="0"/>
        <w:jc w:val="both"/>
        <w:rPr>
          <w:b/>
          <w:bCs/>
          <w:iCs/>
          <w:sz w:val="20"/>
        </w:rPr>
      </w:pPr>
      <w:r w:rsidRPr="00F35544">
        <w:rPr>
          <w:sz w:val="20"/>
        </w:rPr>
        <w:t xml:space="preserve">The Company’s operations are subject to various laws and regulations governing the protection of the environment, exploration, development, production, taxes, </w:t>
      </w:r>
      <w:r w:rsidRPr="00F35544">
        <w:rPr>
          <w:sz w:val="20"/>
          <w:lang w:val="en-CA"/>
        </w:rPr>
        <w:t>labour</w:t>
      </w:r>
      <w:r w:rsidRPr="00F35544">
        <w:rPr>
          <w:sz w:val="20"/>
        </w:rPr>
        <w:t xml:space="preserve"> standards, occupational health</w:t>
      </w:r>
      <w:r w:rsidR="00EC0772" w:rsidRPr="00F35544">
        <w:rPr>
          <w:sz w:val="20"/>
        </w:rPr>
        <w:t xml:space="preserve"> and safety</w:t>
      </w:r>
      <w:r w:rsidRPr="00F35544">
        <w:rPr>
          <w:sz w:val="20"/>
        </w:rPr>
        <w:t xml:space="preserve">, waste disposal, and other matters. Environmental legislation provides for restrictions and prohibitions on spills, releases or emissions of various substances produced in association with certain mining industry operations, such as seepage from tailings disposal areas, which would result in environmental pollution. A breach of such legislation may result in impositions of fines and penalties. In addition, certain types of operations require the submission and approval of environmental impact assessments. Environmental legislation is evolving in a direction of stricter standards, and enforcement, and higher fines and penalties for non-responsibility for companies </w:t>
      </w:r>
      <w:r w:rsidR="00EC0772" w:rsidRPr="00F35544">
        <w:rPr>
          <w:sz w:val="20"/>
        </w:rPr>
        <w:t xml:space="preserve">including its </w:t>
      </w:r>
      <w:r w:rsidRPr="00F35544">
        <w:rPr>
          <w:sz w:val="20"/>
        </w:rPr>
        <w:t>directors, officers and employees. The cost of compliance with changes in governmental regulations has the potential to reduce the profitability for the Company and</w:t>
      </w:r>
      <w:r w:rsidR="00EC0772" w:rsidRPr="00F35544">
        <w:rPr>
          <w:sz w:val="20"/>
        </w:rPr>
        <w:t xml:space="preserve"> its</w:t>
      </w:r>
      <w:r w:rsidRPr="00F35544">
        <w:rPr>
          <w:sz w:val="20"/>
        </w:rPr>
        <w:t xml:space="preserve"> directors, officers and employees. The Company intends to fully comply with all environmental regulations.</w:t>
      </w:r>
    </w:p>
    <w:p w14:paraId="019C793B" w14:textId="77777777" w:rsidR="00C37657" w:rsidRPr="00F35544" w:rsidRDefault="00C37657" w:rsidP="00C37657">
      <w:pPr>
        <w:jc w:val="both"/>
        <w:rPr>
          <w:sz w:val="20"/>
        </w:rPr>
      </w:pPr>
    </w:p>
    <w:p w14:paraId="6AE38F6B" w14:textId="77777777" w:rsidR="00C37657" w:rsidRPr="00F35544" w:rsidRDefault="000928F5" w:rsidP="00C37657">
      <w:pPr>
        <w:jc w:val="both"/>
        <w:rPr>
          <w:sz w:val="20"/>
        </w:rPr>
      </w:pPr>
      <w:r w:rsidRPr="00F35544">
        <w:rPr>
          <w:sz w:val="20"/>
        </w:rPr>
        <w:t xml:space="preserve">Failure to comply with applicable laws, regulations, and permitting requirements may result in enforcement actions thereunder, including orders issued by regulatory or judicial authorities causing operations to cease or be curtailed, and may include corrective measures requiring capital expenditures, installation of additional equipment, or remedial actions. Parties engaged in mining operations may be required to compensate those </w:t>
      </w:r>
    </w:p>
    <w:p w14:paraId="3701E48C" w14:textId="77777777" w:rsidR="003C4615" w:rsidRPr="00F35544" w:rsidRDefault="003C4615" w:rsidP="003C4615">
      <w:pPr>
        <w:jc w:val="both"/>
        <w:rPr>
          <w:sz w:val="20"/>
        </w:rPr>
      </w:pPr>
      <w:proofErr w:type="gramStart"/>
      <w:r w:rsidRPr="00F35544">
        <w:rPr>
          <w:sz w:val="20"/>
        </w:rPr>
        <w:t>suffering</w:t>
      </w:r>
      <w:proofErr w:type="gramEnd"/>
      <w:r w:rsidRPr="00F35544">
        <w:rPr>
          <w:sz w:val="20"/>
        </w:rPr>
        <w:t xml:space="preserve"> loss or damage by reason of mining activities and may have civil or criminal fines or penalties imposed for violations of applicable laws or regulations and, in particular, environmental laws.</w:t>
      </w:r>
    </w:p>
    <w:p w14:paraId="5EA9AACB" w14:textId="77777777" w:rsidR="003C4615" w:rsidRPr="00F35544" w:rsidRDefault="003C4615" w:rsidP="00C37657">
      <w:pPr>
        <w:jc w:val="both"/>
        <w:rPr>
          <w:sz w:val="20"/>
        </w:rPr>
      </w:pPr>
    </w:p>
    <w:p w14:paraId="2E0A2914" w14:textId="77777777" w:rsidR="000928F5" w:rsidRPr="00F35544" w:rsidRDefault="000928F5" w:rsidP="00C37657">
      <w:pPr>
        <w:jc w:val="both"/>
        <w:rPr>
          <w:sz w:val="20"/>
        </w:rPr>
      </w:pPr>
      <w:r w:rsidRPr="00F35544">
        <w:rPr>
          <w:sz w:val="20"/>
        </w:rPr>
        <w:t>Amendments to current laws, regulations and permits governing operations and activities of mining companies, or more stringent implementation thereof, could have a material adverse impact on the Company and cause increases in capital expenditures or productions costs or reduction in levels of productions at producing properties</w:t>
      </w:r>
      <w:r w:rsidR="006547B7" w:rsidRPr="00F35544">
        <w:rPr>
          <w:sz w:val="20"/>
        </w:rPr>
        <w:t>,</w:t>
      </w:r>
      <w:r w:rsidRPr="00F35544">
        <w:rPr>
          <w:sz w:val="20"/>
        </w:rPr>
        <w:t xml:space="preserve"> or requirements abandonment</w:t>
      </w:r>
      <w:r w:rsidR="006547B7" w:rsidRPr="00F35544">
        <w:rPr>
          <w:sz w:val="20"/>
        </w:rPr>
        <w:t>,</w:t>
      </w:r>
      <w:r w:rsidRPr="00F35544">
        <w:rPr>
          <w:sz w:val="20"/>
        </w:rPr>
        <w:t xml:space="preserve"> or delays in development of new mining properties.</w:t>
      </w:r>
    </w:p>
    <w:p w14:paraId="56D6BD5B" w14:textId="08A4B6BE" w:rsidR="00C37657" w:rsidRDefault="00C37657" w:rsidP="00C37657">
      <w:pPr>
        <w:adjustRightInd w:val="0"/>
        <w:rPr>
          <w:b/>
          <w:sz w:val="20"/>
        </w:rPr>
      </w:pPr>
    </w:p>
    <w:p w14:paraId="65D58B3E" w14:textId="77777777" w:rsidR="00FA06A6" w:rsidRPr="00FA06A6" w:rsidRDefault="00FA06A6" w:rsidP="00FA06A6">
      <w:pPr>
        <w:jc w:val="both"/>
        <w:rPr>
          <w:b/>
          <w:sz w:val="20"/>
        </w:rPr>
      </w:pPr>
      <w:r w:rsidRPr="00FA06A6">
        <w:rPr>
          <w:b/>
          <w:sz w:val="20"/>
        </w:rPr>
        <w:t>Title Risks</w:t>
      </w:r>
    </w:p>
    <w:p w14:paraId="4C4BC4DB" w14:textId="77777777" w:rsidR="00FA06A6" w:rsidRPr="00F35544" w:rsidRDefault="00FA06A6" w:rsidP="00FA06A6">
      <w:pPr>
        <w:jc w:val="both"/>
        <w:rPr>
          <w:sz w:val="20"/>
        </w:rPr>
      </w:pPr>
    </w:p>
    <w:p w14:paraId="11CBF5A8" w14:textId="77777777" w:rsidR="00FA06A6" w:rsidRPr="00FA06A6" w:rsidRDefault="00FA06A6" w:rsidP="00FA06A6">
      <w:pPr>
        <w:jc w:val="both"/>
        <w:rPr>
          <w:sz w:val="20"/>
        </w:rPr>
      </w:pPr>
      <w:r w:rsidRPr="00F35544">
        <w:rPr>
          <w:sz w:val="20"/>
        </w:rPr>
        <w:t>Title to exploration and evaluation assets involves certain inherent risks due to the difficulties of determining the validity of certain claims as well as the potential for problems arising from the frequently ambiguous conveyancing history characteristic of many mineral properties.  The Company has investigated title to all of its mineral properties and, to the best of its knowledge, title to all of its properties are in good standing.</w:t>
      </w:r>
    </w:p>
    <w:p w14:paraId="1A790758" w14:textId="77777777" w:rsidR="00C37657" w:rsidRPr="00F35544" w:rsidRDefault="00C37657" w:rsidP="00C37657">
      <w:pPr>
        <w:adjustRightInd w:val="0"/>
        <w:rPr>
          <w:b/>
          <w:sz w:val="20"/>
        </w:rPr>
      </w:pPr>
    </w:p>
    <w:p w14:paraId="301B7065" w14:textId="77777777" w:rsidR="000928F5" w:rsidRPr="00F35544" w:rsidRDefault="000928F5" w:rsidP="00C37657">
      <w:pPr>
        <w:adjustRightInd w:val="0"/>
        <w:rPr>
          <w:b/>
          <w:sz w:val="20"/>
        </w:rPr>
      </w:pPr>
      <w:r w:rsidRPr="00F35544">
        <w:rPr>
          <w:b/>
          <w:sz w:val="20"/>
        </w:rPr>
        <w:t>Price Volatility of Public Stock</w:t>
      </w:r>
    </w:p>
    <w:p w14:paraId="27B399BA" w14:textId="77777777" w:rsidR="00C37657" w:rsidRPr="00F35544" w:rsidRDefault="00C37657" w:rsidP="00C37657">
      <w:pPr>
        <w:jc w:val="both"/>
        <w:rPr>
          <w:sz w:val="20"/>
        </w:rPr>
      </w:pPr>
    </w:p>
    <w:p w14:paraId="301D2F8A" w14:textId="77777777" w:rsidR="000928F5" w:rsidRPr="00F35544" w:rsidRDefault="000928F5" w:rsidP="00C37657">
      <w:pPr>
        <w:jc w:val="both"/>
        <w:rPr>
          <w:sz w:val="20"/>
        </w:rPr>
      </w:pPr>
      <w:r w:rsidRPr="00F35544">
        <w:rPr>
          <w:sz w:val="20"/>
        </w:rPr>
        <w:t>In recent years, securities markets have experienced extremes in price and volume volatility. The market price of securities of many early stage companies, among others, have experienced fluctuations in price which may not necessarily be related to the operating performance, underlying asset values or prospects of such companies. It may be anticipated that any market for the Company’s shares will be subject to market trends generally and the value of the Company’s</w:t>
      </w:r>
      <w:r w:rsidR="001B6755" w:rsidRPr="00F35544">
        <w:rPr>
          <w:sz w:val="20"/>
        </w:rPr>
        <w:t xml:space="preserve"> shares on a stock exchange </w:t>
      </w:r>
      <w:r w:rsidRPr="00F35544">
        <w:rPr>
          <w:sz w:val="20"/>
        </w:rPr>
        <w:t>may be affected by such volatility.</w:t>
      </w:r>
    </w:p>
    <w:p w14:paraId="6AB59919" w14:textId="2920244A" w:rsidR="00C37657" w:rsidRDefault="00C37657" w:rsidP="00C37657">
      <w:pPr>
        <w:adjustRightInd w:val="0"/>
        <w:rPr>
          <w:b/>
          <w:sz w:val="20"/>
        </w:rPr>
      </w:pPr>
    </w:p>
    <w:p w14:paraId="0ED3E566" w14:textId="77777777" w:rsidR="005E4832" w:rsidRDefault="005E4832" w:rsidP="00C37657">
      <w:pPr>
        <w:adjustRightInd w:val="0"/>
        <w:rPr>
          <w:b/>
          <w:sz w:val="20"/>
        </w:rPr>
      </w:pPr>
    </w:p>
    <w:p w14:paraId="0029661B" w14:textId="10615A6C" w:rsidR="005E4832" w:rsidRDefault="005E4832" w:rsidP="00C37657">
      <w:pPr>
        <w:adjustRightInd w:val="0"/>
        <w:rPr>
          <w:b/>
          <w:sz w:val="20"/>
        </w:rPr>
      </w:pPr>
      <w:r w:rsidRPr="00F35544">
        <w:rPr>
          <w:b/>
          <w:sz w:val="20"/>
        </w:rPr>
        <w:lastRenderedPageBreak/>
        <w:t>RISKS AND UNCERTAINTIES (CONTINUED)</w:t>
      </w:r>
    </w:p>
    <w:p w14:paraId="01D6A74C" w14:textId="77777777" w:rsidR="005E4832" w:rsidRDefault="005E4832" w:rsidP="00C37657">
      <w:pPr>
        <w:adjustRightInd w:val="0"/>
        <w:rPr>
          <w:b/>
          <w:sz w:val="20"/>
        </w:rPr>
      </w:pPr>
    </w:p>
    <w:p w14:paraId="6192F564" w14:textId="7A03D5AE" w:rsidR="000928F5" w:rsidRPr="00F35544" w:rsidRDefault="000928F5" w:rsidP="00C37657">
      <w:pPr>
        <w:adjustRightInd w:val="0"/>
        <w:rPr>
          <w:b/>
          <w:sz w:val="20"/>
        </w:rPr>
      </w:pPr>
      <w:r w:rsidRPr="00F35544">
        <w:rPr>
          <w:b/>
          <w:sz w:val="20"/>
        </w:rPr>
        <w:t>Economic Conditions</w:t>
      </w:r>
    </w:p>
    <w:p w14:paraId="5DDCFAC2" w14:textId="77777777" w:rsidR="00C37657" w:rsidRPr="00F35544" w:rsidRDefault="00C37657" w:rsidP="00C37657">
      <w:pPr>
        <w:jc w:val="both"/>
        <w:rPr>
          <w:sz w:val="20"/>
        </w:rPr>
      </w:pPr>
    </w:p>
    <w:p w14:paraId="018CC0DE" w14:textId="77777777" w:rsidR="0029118E" w:rsidRDefault="004A720D" w:rsidP="00A05A52">
      <w:pPr>
        <w:adjustRightInd w:val="0"/>
        <w:rPr>
          <w:b/>
          <w:sz w:val="20"/>
        </w:rPr>
      </w:pPr>
      <w:r w:rsidRPr="00F35544">
        <w:rPr>
          <w:sz w:val="20"/>
        </w:rPr>
        <w:t>Unfavorable</w:t>
      </w:r>
      <w:r w:rsidR="000928F5" w:rsidRPr="00F35544">
        <w:rPr>
          <w:sz w:val="20"/>
        </w:rPr>
        <w:t xml:space="preserve"> economic conditions may negatively impact the Company’s financial viability as a result of increased financing costs and limited access to capital markets.</w:t>
      </w:r>
    </w:p>
    <w:p w14:paraId="0FCFB6B4" w14:textId="77777777" w:rsidR="00A05A52" w:rsidRPr="00F35544" w:rsidRDefault="00A05A52" w:rsidP="00C37657">
      <w:pPr>
        <w:adjustRightInd w:val="0"/>
        <w:rPr>
          <w:b/>
          <w:sz w:val="20"/>
        </w:rPr>
      </w:pPr>
    </w:p>
    <w:p w14:paraId="2EA0D7C2" w14:textId="77777777" w:rsidR="000928F5" w:rsidRPr="00F35544" w:rsidRDefault="000928F5" w:rsidP="00C37657">
      <w:pPr>
        <w:adjustRightInd w:val="0"/>
        <w:rPr>
          <w:b/>
          <w:sz w:val="20"/>
        </w:rPr>
      </w:pPr>
      <w:r w:rsidRPr="00F35544">
        <w:rPr>
          <w:b/>
          <w:sz w:val="20"/>
        </w:rPr>
        <w:t>Dependence on Management</w:t>
      </w:r>
    </w:p>
    <w:p w14:paraId="6B81ED93" w14:textId="77777777" w:rsidR="00C750EC" w:rsidRPr="00F35544" w:rsidRDefault="00C750EC" w:rsidP="00C37657">
      <w:pPr>
        <w:jc w:val="both"/>
        <w:rPr>
          <w:sz w:val="20"/>
        </w:rPr>
      </w:pPr>
    </w:p>
    <w:p w14:paraId="72841C85" w14:textId="5C6FB2CF" w:rsidR="000928F5" w:rsidRDefault="000928F5" w:rsidP="00C37657">
      <w:pPr>
        <w:jc w:val="both"/>
        <w:rPr>
          <w:sz w:val="20"/>
        </w:rPr>
      </w:pPr>
      <w:r w:rsidRPr="00F35544">
        <w:rPr>
          <w:sz w:val="20"/>
        </w:rPr>
        <w:t>The Company is very dependent upon the personal efforts and commitment of its existing management. To the extent that management’s services would be unavailable for any reason, a disruption to the operations of the Company could result, and other persons would be required to manage and operate the Company.</w:t>
      </w:r>
    </w:p>
    <w:p w14:paraId="247482CF" w14:textId="77777777" w:rsidR="00FA06A6" w:rsidRDefault="00FA06A6" w:rsidP="00C37657">
      <w:pPr>
        <w:adjustRightInd w:val="0"/>
        <w:rPr>
          <w:b/>
          <w:sz w:val="20"/>
        </w:rPr>
      </w:pPr>
    </w:p>
    <w:p w14:paraId="2C505A6A" w14:textId="7C31FAEE" w:rsidR="000928F5" w:rsidRPr="00F35544" w:rsidRDefault="000928F5" w:rsidP="00C37657">
      <w:pPr>
        <w:adjustRightInd w:val="0"/>
        <w:rPr>
          <w:b/>
          <w:sz w:val="20"/>
        </w:rPr>
      </w:pPr>
      <w:r w:rsidRPr="00F35544">
        <w:rPr>
          <w:b/>
          <w:sz w:val="20"/>
        </w:rPr>
        <w:t>Conflicts of Interest</w:t>
      </w:r>
    </w:p>
    <w:p w14:paraId="21A96249" w14:textId="77777777" w:rsidR="00C750EC" w:rsidRPr="00F35544" w:rsidRDefault="00C750EC" w:rsidP="00C37657">
      <w:pPr>
        <w:jc w:val="both"/>
        <w:rPr>
          <w:sz w:val="20"/>
        </w:rPr>
      </w:pPr>
    </w:p>
    <w:p w14:paraId="7A2C52D2" w14:textId="77777777" w:rsidR="000928F5" w:rsidRPr="00F35544" w:rsidRDefault="000928F5" w:rsidP="00C37657">
      <w:pPr>
        <w:jc w:val="both"/>
        <w:rPr>
          <w:sz w:val="20"/>
        </w:rPr>
      </w:pPr>
      <w:r w:rsidRPr="00F35544">
        <w:rPr>
          <w:sz w:val="20"/>
        </w:rPr>
        <w:t xml:space="preserve">The Company’s directors and officers may serve as directors and </w:t>
      </w:r>
      <w:r w:rsidR="00850B93" w:rsidRPr="00F35544">
        <w:rPr>
          <w:sz w:val="20"/>
        </w:rPr>
        <w:t>officers or</w:t>
      </w:r>
      <w:r w:rsidRPr="00F35544">
        <w:rPr>
          <w:sz w:val="20"/>
        </w:rPr>
        <w:t xml:space="preserve"> may be associated with other reporting companies or have significant shareholdings in other public companies. To the extent that such other companies may participate in business or asset acquisitions, dispositions, or ventures in which the Company may participate, the directors and officers of the Company may have a conflict of interest in negotiating and concluding terms respecting the transaction. If a conflict of interest arises, the Company will follow the provisions of the Business Corporations Act, British Columbia (“Corporations Act”) in dealing with conflicts of interest. These provisions state, where a director/officer has such a conflict, that the director/officer must at a meeting of the board, disclose his interest and re</w:t>
      </w:r>
      <w:r w:rsidR="000322E1" w:rsidRPr="00F35544">
        <w:rPr>
          <w:sz w:val="20"/>
        </w:rPr>
        <w:t xml:space="preserve">frain from voting on the matter </w:t>
      </w:r>
      <w:r w:rsidRPr="00F35544">
        <w:rPr>
          <w:sz w:val="20"/>
        </w:rPr>
        <w:t>unless otherwise permitted by the Corporations Act. In accordance with the laws of the Province of British Columbia, the directors and officers of the Company are required to act honestly, in good faith and in the best interests of the Company.</w:t>
      </w:r>
    </w:p>
    <w:p w14:paraId="11724D5C" w14:textId="77777777" w:rsidR="00A05A52" w:rsidRPr="00F35544" w:rsidRDefault="00A05A52" w:rsidP="00C750EC">
      <w:pPr>
        <w:adjustRightInd w:val="0"/>
        <w:jc w:val="both"/>
        <w:rPr>
          <w:b/>
          <w:caps/>
          <w:sz w:val="20"/>
        </w:rPr>
      </w:pPr>
    </w:p>
    <w:p w14:paraId="690E7AB1" w14:textId="77777777" w:rsidR="005D290A" w:rsidRPr="00F35544" w:rsidRDefault="005D290A" w:rsidP="00C750EC">
      <w:pPr>
        <w:adjustRightInd w:val="0"/>
        <w:jc w:val="both"/>
        <w:rPr>
          <w:b/>
          <w:caps/>
          <w:sz w:val="20"/>
        </w:rPr>
      </w:pPr>
      <w:r w:rsidRPr="00F35544">
        <w:rPr>
          <w:b/>
          <w:caps/>
          <w:sz w:val="20"/>
        </w:rPr>
        <w:t>additional disclosure for venture issuers without significant revenue</w:t>
      </w:r>
    </w:p>
    <w:p w14:paraId="6B85C1F3" w14:textId="77777777" w:rsidR="00C750EC" w:rsidRPr="00F35544" w:rsidRDefault="00C750EC" w:rsidP="00C750EC">
      <w:pPr>
        <w:adjustRightInd w:val="0"/>
        <w:jc w:val="both"/>
        <w:rPr>
          <w:sz w:val="20"/>
        </w:rPr>
      </w:pPr>
    </w:p>
    <w:p w14:paraId="056E6577" w14:textId="019E444D" w:rsidR="005D290A" w:rsidRPr="00F35544" w:rsidRDefault="00586F19" w:rsidP="00C750EC">
      <w:pPr>
        <w:adjustRightInd w:val="0"/>
        <w:jc w:val="both"/>
        <w:rPr>
          <w:sz w:val="20"/>
        </w:rPr>
      </w:pPr>
      <w:r w:rsidRPr="00F35544">
        <w:rPr>
          <w:sz w:val="20"/>
        </w:rPr>
        <w:t xml:space="preserve">Additional disclosure concerning </w:t>
      </w:r>
      <w:r w:rsidR="002350A7" w:rsidRPr="00F35544">
        <w:rPr>
          <w:sz w:val="20"/>
        </w:rPr>
        <w:t xml:space="preserve">the Company’s </w:t>
      </w:r>
      <w:r w:rsidRPr="00F35544">
        <w:rPr>
          <w:sz w:val="20"/>
        </w:rPr>
        <w:t>general and administrative expenses and exploration and evaluation cos</w:t>
      </w:r>
      <w:r w:rsidR="004E1178" w:rsidRPr="00F35544">
        <w:rPr>
          <w:sz w:val="20"/>
        </w:rPr>
        <w:t xml:space="preserve">ts is provided in the Company’s </w:t>
      </w:r>
      <w:r w:rsidRPr="00F35544">
        <w:rPr>
          <w:sz w:val="20"/>
        </w:rPr>
        <w:t xml:space="preserve">consolidated statement of loss and note disclosures contained in its </w:t>
      </w:r>
      <w:r w:rsidR="0025363C" w:rsidRPr="00F35544">
        <w:rPr>
          <w:sz w:val="20"/>
        </w:rPr>
        <w:t>consolidated financial statements</w:t>
      </w:r>
      <w:r w:rsidRPr="00F35544">
        <w:rPr>
          <w:sz w:val="20"/>
        </w:rPr>
        <w:t xml:space="preserve"> for the </w:t>
      </w:r>
      <w:r w:rsidR="00E7203E">
        <w:rPr>
          <w:sz w:val="20"/>
        </w:rPr>
        <w:t>period</w:t>
      </w:r>
      <w:r w:rsidRPr="00F35544">
        <w:rPr>
          <w:sz w:val="20"/>
        </w:rPr>
        <w:t xml:space="preserve"> ended </w:t>
      </w:r>
      <w:r w:rsidR="00E7203E">
        <w:rPr>
          <w:sz w:val="20"/>
        </w:rPr>
        <w:t>June 30</w:t>
      </w:r>
      <w:r w:rsidR="00F95D3F" w:rsidRPr="00F35544">
        <w:rPr>
          <w:sz w:val="20"/>
        </w:rPr>
        <w:t>, 20</w:t>
      </w:r>
      <w:r w:rsidR="005704A3">
        <w:rPr>
          <w:sz w:val="20"/>
        </w:rPr>
        <w:t>20</w:t>
      </w:r>
      <w:r w:rsidR="00A97F80" w:rsidRPr="00F35544">
        <w:rPr>
          <w:sz w:val="20"/>
        </w:rPr>
        <w:t xml:space="preserve">. </w:t>
      </w:r>
      <w:r w:rsidRPr="00F35544">
        <w:rPr>
          <w:sz w:val="20"/>
        </w:rPr>
        <w:t xml:space="preserve">These statements are available on SEDAR </w:t>
      </w:r>
      <w:r w:rsidR="005138FF" w:rsidRPr="00F35544">
        <w:rPr>
          <w:sz w:val="20"/>
        </w:rPr>
        <w:t>-</w:t>
      </w:r>
      <w:r w:rsidRPr="00F35544">
        <w:rPr>
          <w:sz w:val="20"/>
        </w:rPr>
        <w:t xml:space="preserve"> Site accessed thr</w:t>
      </w:r>
      <w:r w:rsidR="008201BC" w:rsidRPr="00F35544">
        <w:rPr>
          <w:sz w:val="20"/>
        </w:rPr>
        <w:t xml:space="preserve">ough </w:t>
      </w:r>
      <w:hyperlink r:id="rId19" w:history="1">
        <w:r w:rsidR="008201BC" w:rsidRPr="00F35544">
          <w:rPr>
            <w:rStyle w:val="Hyperlink"/>
            <w:color w:val="auto"/>
            <w:sz w:val="20"/>
          </w:rPr>
          <w:t>www.sedar.com</w:t>
        </w:r>
      </w:hyperlink>
      <w:r w:rsidR="00522572" w:rsidRPr="00F35544">
        <w:rPr>
          <w:sz w:val="20"/>
        </w:rPr>
        <w:t xml:space="preserve"> and the Company’s website at www.megumagold.com</w:t>
      </w:r>
      <w:r w:rsidR="00CB1EFD" w:rsidRPr="00F35544">
        <w:rPr>
          <w:sz w:val="20"/>
        </w:rPr>
        <w:t>.</w:t>
      </w:r>
    </w:p>
    <w:p w14:paraId="77374624" w14:textId="77777777" w:rsidR="00447A4E" w:rsidRPr="00F35544" w:rsidRDefault="00447A4E" w:rsidP="00C750EC">
      <w:pPr>
        <w:adjustRightInd w:val="0"/>
        <w:jc w:val="both"/>
        <w:rPr>
          <w:b/>
          <w:caps/>
          <w:sz w:val="20"/>
        </w:rPr>
      </w:pPr>
    </w:p>
    <w:p w14:paraId="1E8AD0F6" w14:textId="77777777" w:rsidR="00586F19" w:rsidRPr="00F35544" w:rsidRDefault="00586F19" w:rsidP="00C750EC">
      <w:pPr>
        <w:adjustRightInd w:val="0"/>
        <w:rPr>
          <w:b/>
          <w:sz w:val="20"/>
        </w:rPr>
      </w:pPr>
      <w:r w:rsidRPr="00F35544">
        <w:rPr>
          <w:b/>
          <w:sz w:val="20"/>
        </w:rPr>
        <w:t>Dividends</w:t>
      </w:r>
    </w:p>
    <w:p w14:paraId="4E7F26D6" w14:textId="77777777" w:rsidR="00C750EC" w:rsidRPr="00F35544" w:rsidRDefault="00C750EC" w:rsidP="00C750EC">
      <w:pPr>
        <w:adjustRightInd w:val="0"/>
        <w:jc w:val="both"/>
        <w:rPr>
          <w:sz w:val="20"/>
        </w:rPr>
      </w:pPr>
    </w:p>
    <w:p w14:paraId="7F01C5CA" w14:textId="34702D94" w:rsidR="005D290A" w:rsidRDefault="00586F19" w:rsidP="00C750EC">
      <w:pPr>
        <w:adjustRightInd w:val="0"/>
        <w:jc w:val="both"/>
        <w:rPr>
          <w:sz w:val="20"/>
        </w:rPr>
      </w:pPr>
      <w:r w:rsidRPr="00F35544">
        <w:rPr>
          <w:sz w:val="20"/>
        </w:rPr>
        <w:t>The Company has no earnings or dividend record and is unlikely to pay any dividends in the foreseeable future as it intends to employ available funds for mineral exploration and development. Any future determination to pay dividends will be at the discretion of the board of directors and will depend on the Company’s financial condition, results of operations, capital requirements and such other factors as the board of directors deem relevant</w:t>
      </w:r>
      <w:r w:rsidR="00FA06A6">
        <w:rPr>
          <w:sz w:val="20"/>
        </w:rPr>
        <w:t>.</w:t>
      </w:r>
    </w:p>
    <w:p w14:paraId="6D871BF5" w14:textId="5F466DBE" w:rsidR="00FA06A6" w:rsidRDefault="00FA06A6" w:rsidP="00C750EC">
      <w:pPr>
        <w:adjustRightInd w:val="0"/>
        <w:rPr>
          <w:b/>
          <w:sz w:val="20"/>
        </w:rPr>
      </w:pPr>
    </w:p>
    <w:p w14:paraId="6A32B01D" w14:textId="7B790A25" w:rsidR="00E3635B" w:rsidRPr="00F35544" w:rsidRDefault="00E3635B" w:rsidP="00C750EC">
      <w:pPr>
        <w:adjustRightInd w:val="0"/>
        <w:rPr>
          <w:b/>
          <w:sz w:val="20"/>
        </w:rPr>
      </w:pPr>
      <w:r w:rsidRPr="00F35544">
        <w:rPr>
          <w:b/>
          <w:sz w:val="20"/>
        </w:rPr>
        <w:t>Management’s Responsib</w:t>
      </w:r>
      <w:r w:rsidR="005B7644" w:rsidRPr="00F35544">
        <w:rPr>
          <w:b/>
          <w:sz w:val="20"/>
        </w:rPr>
        <w:t>ility for Financial Statements</w:t>
      </w:r>
    </w:p>
    <w:p w14:paraId="359B346F" w14:textId="77777777" w:rsidR="00C750EC" w:rsidRPr="00F35544" w:rsidRDefault="00C750EC" w:rsidP="00C750EC">
      <w:pPr>
        <w:widowControl/>
        <w:autoSpaceDE w:val="0"/>
        <w:autoSpaceDN w:val="0"/>
        <w:adjustRightInd w:val="0"/>
        <w:jc w:val="both"/>
        <w:rPr>
          <w:sz w:val="20"/>
        </w:rPr>
      </w:pPr>
    </w:p>
    <w:p w14:paraId="1E376662" w14:textId="77777777" w:rsidR="00586F19" w:rsidRPr="00F35544" w:rsidRDefault="00586F19" w:rsidP="00C750EC">
      <w:pPr>
        <w:widowControl/>
        <w:autoSpaceDE w:val="0"/>
        <w:autoSpaceDN w:val="0"/>
        <w:adjustRightInd w:val="0"/>
        <w:jc w:val="both"/>
        <w:rPr>
          <w:sz w:val="20"/>
        </w:rPr>
      </w:pPr>
      <w:r w:rsidRPr="00F35544">
        <w:rPr>
          <w:sz w:val="20"/>
        </w:rPr>
        <w:t xml:space="preserve">The information provided in this report, including the </w:t>
      </w:r>
      <w:r w:rsidR="0025363C" w:rsidRPr="00F35544">
        <w:rPr>
          <w:sz w:val="20"/>
        </w:rPr>
        <w:t>consolidated financial statements</w:t>
      </w:r>
      <w:r w:rsidRPr="00F35544">
        <w:rPr>
          <w:sz w:val="20"/>
        </w:rPr>
        <w:t xml:space="preserve">, is the responsibility of management. In the preparation of these statements, estimates are sometimes necessary to make a determination of future values for certain assets or liabilities. Management believes such estimates have been based on careful judgments and have been properly reflected in the accompanying financial statements. In contrast to the certificate required under National Instrument 52-109 Certificate of Disclosure in Issuers’ Annual and Interim Filings (“NI 52-109”), the Venture Issuer Basic Certificate does not include representations relating to the establishment and maintenance of disclosure controls and procedures (“DC&amp;P”) and internal control over financial reporting (“ICFR”), as defined in NI 52-109, in particular, the certifying officers filing this certificate are not making any representations relating to the establishment and maintenance of: </w:t>
      </w:r>
    </w:p>
    <w:p w14:paraId="7D705B1B" w14:textId="77777777" w:rsidR="005E4832" w:rsidRPr="00F35544" w:rsidRDefault="005E4832" w:rsidP="005E4832">
      <w:pPr>
        <w:adjustRightInd w:val="0"/>
        <w:rPr>
          <w:b/>
          <w:sz w:val="20"/>
        </w:rPr>
      </w:pPr>
      <w:r>
        <w:rPr>
          <w:sz w:val="20"/>
        </w:rPr>
        <w:br w:type="page"/>
      </w:r>
      <w:r w:rsidRPr="00F35544">
        <w:rPr>
          <w:b/>
          <w:sz w:val="20"/>
        </w:rPr>
        <w:lastRenderedPageBreak/>
        <w:t>RISKS AND UNCERTAINTIES (CONTINUED)</w:t>
      </w:r>
    </w:p>
    <w:p w14:paraId="4E5F9232" w14:textId="5D27A689" w:rsidR="00C750EC" w:rsidRDefault="00C750EC" w:rsidP="00C750EC">
      <w:pPr>
        <w:widowControl/>
        <w:autoSpaceDE w:val="0"/>
        <w:autoSpaceDN w:val="0"/>
        <w:adjustRightInd w:val="0"/>
        <w:jc w:val="both"/>
        <w:rPr>
          <w:sz w:val="20"/>
        </w:rPr>
      </w:pPr>
    </w:p>
    <w:p w14:paraId="5DA43ACC" w14:textId="1228569A" w:rsidR="005E4832" w:rsidRPr="00F35544" w:rsidRDefault="005E4832" w:rsidP="005E4832">
      <w:pPr>
        <w:adjustRightInd w:val="0"/>
        <w:rPr>
          <w:b/>
          <w:sz w:val="20"/>
        </w:rPr>
      </w:pPr>
      <w:r w:rsidRPr="00F35544">
        <w:rPr>
          <w:b/>
          <w:sz w:val="20"/>
        </w:rPr>
        <w:t>Management’s Responsibility for Financial Statements</w:t>
      </w:r>
      <w:r>
        <w:rPr>
          <w:b/>
          <w:sz w:val="20"/>
        </w:rPr>
        <w:t xml:space="preserve"> (continued)</w:t>
      </w:r>
    </w:p>
    <w:p w14:paraId="552CB12E" w14:textId="77777777" w:rsidR="005E4832" w:rsidRPr="00F35544" w:rsidRDefault="005E4832" w:rsidP="00C750EC">
      <w:pPr>
        <w:widowControl/>
        <w:autoSpaceDE w:val="0"/>
        <w:autoSpaceDN w:val="0"/>
        <w:adjustRightInd w:val="0"/>
        <w:jc w:val="both"/>
        <w:rPr>
          <w:sz w:val="20"/>
        </w:rPr>
      </w:pPr>
    </w:p>
    <w:p w14:paraId="437864C7" w14:textId="77777777" w:rsidR="00AA437D" w:rsidRPr="00F35544" w:rsidRDefault="00586F19" w:rsidP="003B761F">
      <w:pPr>
        <w:widowControl/>
        <w:numPr>
          <w:ilvl w:val="0"/>
          <w:numId w:val="8"/>
        </w:numPr>
        <w:autoSpaceDE w:val="0"/>
        <w:autoSpaceDN w:val="0"/>
        <w:adjustRightInd w:val="0"/>
        <w:ind w:left="426" w:hanging="381"/>
        <w:jc w:val="both"/>
        <w:rPr>
          <w:sz w:val="20"/>
        </w:rPr>
      </w:pPr>
      <w:r w:rsidRPr="00F35544">
        <w:rPr>
          <w:sz w:val="20"/>
        </w:rPr>
        <w:t xml:space="preserve">controls and other procedures designed to provide reasonable assurance that information required to be disclosed by the Company in its annual filings, interim filings or other reports filed or submitted under securities legislation is recorded, processed, summarized and reported within the time periods specified in securities legislation; and </w:t>
      </w:r>
    </w:p>
    <w:p w14:paraId="7CBEED3F" w14:textId="77777777" w:rsidR="00AA437D" w:rsidRPr="00F35544" w:rsidRDefault="00AA437D" w:rsidP="00C750EC">
      <w:pPr>
        <w:widowControl/>
        <w:autoSpaceDE w:val="0"/>
        <w:autoSpaceDN w:val="0"/>
        <w:adjustRightInd w:val="0"/>
        <w:jc w:val="both"/>
        <w:rPr>
          <w:sz w:val="20"/>
        </w:rPr>
      </w:pPr>
    </w:p>
    <w:p w14:paraId="43A08A9D" w14:textId="77777777" w:rsidR="00586F19" w:rsidRPr="00F35544" w:rsidRDefault="00C750EC" w:rsidP="00C750EC">
      <w:pPr>
        <w:widowControl/>
        <w:autoSpaceDE w:val="0"/>
        <w:autoSpaceDN w:val="0"/>
        <w:adjustRightInd w:val="0"/>
        <w:ind w:left="426" w:hanging="381"/>
        <w:jc w:val="both"/>
        <w:rPr>
          <w:sz w:val="20"/>
        </w:rPr>
      </w:pPr>
      <w:r w:rsidRPr="00F35544">
        <w:rPr>
          <w:sz w:val="20"/>
        </w:rPr>
        <w:t xml:space="preserve"> </w:t>
      </w:r>
      <w:r w:rsidR="00586F19" w:rsidRPr="00F35544">
        <w:rPr>
          <w:sz w:val="20"/>
        </w:rPr>
        <w:t xml:space="preserve">(ii) </w:t>
      </w:r>
      <w:proofErr w:type="gramStart"/>
      <w:r w:rsidR="00586F19" w:rsidRPr="00F35544">
        <w:rPr>
          <w:sz w:val="20"/>
        </w:rPr>
        <w:t>a</w:t>
      </w:r>
      <w:proofErr w:type="gramEnd"/>
      <w:r w:rsidR="00586F19" w:rsidRPr="00F35544">
        <w:rPr>
          <w:sz w:val="20"/>
        </w:rPr>
        <w:t xml:space="preserve"> process to provide reasonable assurance regarding the reliability of financial reporting and the preparation of financial statements for external purposes in accordance with the Company’s GAAP. </w:t>
      </w:r>
    </w:p>
    <w:p w14:paraId="00F28547" w14:textId="77777777" w:rsidR="00C750EC" w:rsidRPr="00F35544" w:rsidRDefault="00C750EC" w:rsidP="00C750EC">
      <w:pPr>
        <w:adjustRightInd w:val="0"/>
        <w:jc w:val="both"/>
        <w:rPr>
          <w:sz w:val="20"/>
        </w:rPr>
      </w:pPr>
    </w:p>
    <w:p w14:paraId="72EF98E8" w14:textId="77777777" w:rsidR="00586F19" w:rsidRPr="00F35544" w:rsidRDefault="00586F19" w:rsidP="00C750EC">
      <w:pPr>
        <w:adjustRightInd w:val="0"/>
        <w:jc w:val="both"/>
        <w:rPr>
          <w:sz w:val="20"/>
        </w:rPr>
      </w:pPr>
      <w:r w:rsidRPr="00F35544">
        <w:rPr>
          <w:sz w:val="20"/>
        </w:rPr>
        <w:t xml:space="preserve">The issuer’s certifying officers are responsible for ensuring that processes are in place to provide them with sufficient knowledge to support the representations they are making in this certificate. Investors should be aware that inherent limitations on the ability of certifying officers of a venture issuer to design and implement on a </w:t>
      </w:r>
      <w:r w:rsidR="00850B93" w:rsidRPr="00F35544">
        <w:rPr>
          <w:sz w:val="20"/>
        </w:rPr>
        <w:t>cost-effective</w:t>
      </w:r>
      <w:r w:rsidRPr="00F35544">
        <w:rPr>
          <w:sz w:val="20"/>
        </w:rPr>
        <w:t xml:space="preserve"> basis DC&amp;P and ICFR as defined in NI 52-109 may result in additional risks to the quality, reliability, transparency and timeliness of interim and annual filings and other reports provided under securities legislation.</w:t>
      </w:r>
    </w:p>
    <w:p w14:paraId="6CC9EB40" w14:textId="77777777" w:rsidR="00C750EC" w:rsidRPr="00F35544" w:rsidRDefault="00C750EC" w:rsidP="00C750EC">
      <w:pPr>
        <w:widowControl/>
        <w:autoSpaceDE w:val="0"/>
        <w:autoSpaceDN w:val="0"/>
        <w:adjustRightInd w:val="0"/>
        <w:rPr>
          <w:b/>
          <w:sz w:val="20"/>
        </w:rPr>
      </w:pPr>
    </w:p>
    <w:p w14:paraId="1952DC15" w14:textId="77777777" w:rsidR="008201BC" w:rsidRPr="00F35544" w:rsidRDefault="008201BC" w:rsidP="00C750EC">
      <w:pPr>
        <w:widowControl/>
        <w:autoSpaceDE w:val="0"/>
        <w:autoSpaceDN w:val="0"/>
        <w:adjustRightInd w:val="0"/>
        <w:rPr>
          <w:b/>
          <w:sz w:val="20"/>
        </w:rPr>
      </w:pPr>
      <w:r w:rsidRPr="00F35544">
        <w:rPr>
          <w:b/>
          <w:sz w:val="20"/>
        </w:rPr>
        <w:t xml:space="preserve">Nature of the Securities </w:t>
      </w:r>
    </w:p>
    <w:p w14:paraId="1AD1BF6A" w14:textId="77777777" w:rsidR="00C750EC" w:rsidRPr="00F35544" w:rsidRDefault="00C750EC" w:rsidP="00C750EC">
      <w:pPr>
        <w:widowControl/>
        <w:autoSpaceDE w:val="0"/>
        <w:autoSpaceDN w:val="0"/>
        <w:adjustRightInd w:val="0"/>
        <w:jc w:val="both"/>
        <w:rPr>
          <w:sz w:val="20"/>
        </w:rPr>
      </w:pPr>
    </w:p>
    <w:p w14:paraId="7BA8F84E" w14:textId="77777777" w:rsidR="005D290A" w:rsidRPr="00F35544" w:rsidRDefault="008201BC" w:rsidP="00C750EC">
      <w:pPr>
        <w:widowControl/>
        <w:autoSpaceDE w:val="0"/>
        <w:autoSpaceDN w:val="0"/>
        <w:adjustRightInd w:val="0"/>
        <w:jc w:val="both"/>
        <w:rPr>
          <w:sz w:val="20"/>
        </w:rPr>
      </w:pPr>
      <w:r w:rsidRPr="00F35544">
        <w:rPr>
          <w:sz w:val="20"/>
        </w:rPr>
        <w:t>The purchase of the Company’s securities involves a high degree of risk and should be undertaken only by investors whose financial resources are sufficient to enable them to assume such risks. The Company’s securities should not be purchased by persons who cannot afford the possibility of the loss of their entire investment. Furthermore, an investment in the Company’s securities should not constitute a major portion of an investor's portfolio.</w:t>
      </w:r>
    </w:p>
    <w:p w14:paraId="1C4ACE63" w14:textId="77777777" w:rsidR="000322E1" w:rsidRPr="00F35544" w:rsidRDefault="000322E1" w:rsidP="00C750EC">
      <w:pPr>
        <w:adjustRightInd w:val="0"/>
        <w:rPr>
          <w:b/>
          <w:sz w:val="20"/>
        </w:rPr>
      </w:pPr>
    </w:p>
    <w:p w14:paraId="7CDC5DCA" w14:textId="77777777" w:rsidR="008201BC" w:rsidRPr="00F35544" w:rsidRDefault="008201BC" w:rsidP="00C750EC">
      <w:pPr>
        <w:adjustRightInd w:val="0"/>
        <w:rPr>
          <w:b/>
          <w:sz w:val="20"/>
        </w:rPr>
      </w:pPr>
      <w:r w:rsidRPr="00F35544">
        <w:rPr>
          <w:b/>
          <w:sz w:val="20"/>
        </w:rPr>
        <w:t>Proposed Transactions</w:t>
      </w:r>
    </w:p>
    <w:p w14:paraId="2D070692" w14:textId="77777777" w:rsidR="00C750EC" w:rsidRPr="00F35544" w:rsidRDefault="00C750EC" w:rsidP="00C750EC">
      <w:pPr>
        <w:numPr>
          <w:ilvl w:val="12"/>
          <w:numId w:val="0"/>
        </w:numPr>
        <w:tabs>
          <w:tab w:val="left" w:pos="-720"/>
          <w:tab w:val="left" w:pos="0"/>
          <w:tab w:val="left" w:pos="630"/>
          <w:tab w:val="left" w:pos="1080"/>
          <w:tab w:val="left" w:pos="1260"/>
          <w:tab w:val="left" w:pos="2160"/>
          <w:tab w:val="left" w:pos="2880"/>
          <w:tab w:val="left" w:pos="3600"/>
          <w:tab w:val="left" w:pos="4320"/>
          <w:tab w:val="left" w:pos="5040"/>
          <w:tab w:val="left" w:pos="5760"/>
          <w:tab w:val="left" w:pos="6480"/>
          <w:tab w:val="left" w:pos="7200"/>
          <w:tab w:val="left" w:pos="8640"/>
          <w:tab w:val="right" w:pos="9360"/>
        </w:tabs>
        <w:jc w:val="both"/>
        <w:rPr>
          <w:sz w:val="20"/>
        </w:rPr>
      </w:pPr>
    </w:p>
    <w:p w14:paraId="0193D002" w14:textId="77777777" w:rsidR="008201BC" w:rsidRPr="00F35544" w:rsidRDefault="008201BC" w:rsidP="00C750EC">
      <w:pPr>
        <w:numPr>
          <w:ilvl w:val="12"/>
          <w:numId w:val="0"/>
        </w:numPr>
        <w:tabs>
          <w:tab w:val="left" w:pos="-720"/>
          <w:tab w:val="left" w:pos="0"/>
          <w:tab w:val="left" w:pos="630"/>
          <w:tab w:val="left" w:pos="1080"/>
          <w:tab w:val="left" w:pos="1260"/>
          <w:tab w:val="left" w:pos="2160"/>
          <w:tab w:val="left" w:pos="2880"/>
          <w:tab w:val="left" w:pos="3600"/>
          <w:tab w:val="left" w:pos="4320"/>
          <w:tab w:val="left" w:pos="5040"/>
          <w:tab w:val="left" w:pos="5760"/>
          <w:tab w:val="left" w:pos="6480"/>
          <w:tab w:val="left" w:pos="7200"/>
          <w:tab w:val="left" w:pos="8640"/>
          <w:tab w:val="right" w:pos="9360"/>
        </w:tabs>
        <w:jc w:val="both"/>
        <w:rPr>
          <w:sz w:val="20"/>
        </w:rPr>
      </w:pPr>
      <w:r w:rsidRPr="00F35544">
        <w:rPr>
          <w:sz w:val="20"/>
        </w:rPr>
        <w:t>There are currently no significant proposed transactions except as otherwise disclosed in this MD&amp;A. Confidentiality agreements</w:t>
      </w:r>
      <w:r w:rsidR="00D63237" w:rsidRPr="00F35544">
        <w:rPr>
          <w:sz w:val="20"/>
        </w:rPr>
        <w:t xml:space="preserve"> and non-binding agreements</w:t>
      </w:r>
      <w:r w:rsidRPr="00F35544">
        <w:rPr>
          <w:sz w:val="20"/>
        </w:rPr>
        <w:t xml:space="preserve"> may be entered into from time to time, with independent entities to allow for discussions of the potential acquisition and/or development of certain properties. </w:t>
      </w:r>
    </w:p>
    <w:p w14:paraId="1E9F7C59" w14:textId="77777777" w:rsidR="00C750EC" w:rsidRPr="00F35544" w:rsidRDefault="00C750EC" w:rsidP="00C750EC">
      <w:pPr>
        <w:adjustRightInd w:val="0"/>
        <w:rPr>
          <w:b/>
          <w:sz w:val="20"/>
        </w:rPr>
      </w:pPr>
    </w:p>
    <w:p w14:paraId="67722ED5" w14:textId="77777777" w:rsidR="008201BC" w:rsidRPr="00F35544" w:rsidRDefault="008201BC" w:rsidP="00C750EC">
      <w:pPr>
        <w:adjustRightInd w:val="0"/>
        <w:rPr>
          <w:b/>
          <w:sz w:val="20"/>
        </w:rPr>
      </w:pPr>
      <w:r w:rsidRPr="00F35544">
        <w:rPr>
          <w:b/>
          <w:sz w:val="20"/>
        </w:rPr>
        <w:t xml:space="preserve">Approval </w:t>
      </w:r>
    </w:p>
    <w:p w14:paraId="227B982E" w14:textId="77777777" w:rsidR="00C750EC" w:rsidRPr="00F35544" w:rsidRDefault="00C750EC" w:rsidP="00C750EC">
      <w:pPr>
        <w:widowControl/>
        <w:autoSpaceDE w:val="0"/>
        <w:autoSpaceDN w:val="0"/>
        <w:adjustRightInd w:val="0"/>
        <w:jc w:val="both"/>
        <w:rPr>
          <w:sz w:val="20"/>
        </w:rPr>
      </w:pPr>
    </w:p>
    <w:p w14:paraId="7A89E2FE" w14:textId="7B8603AA" w:rsidR="008201BC" w:rsidRDefault="008201BC" w:rsidP="00C750EC">
      <w:pPr>
        <w:widowControl/>
        <w:autoSpaceDE w:val="0"/>
        <w:autoSpaceDN w:val="0"/>
        <w:adjustRightInd w:val="0"/>
        <w:jc w:val="both"/>
        <w:rPr>
          <w:sz w:val="20"/>
        </w:rPr>
      </w:pPr>
      <w:r w:rsidRPr="00F35544">
        <w:rPr>
          <w:sz w:val="20"/>
        </w:rPr>
        <w:t>The Board of Directors oversees management’s responsibility for financial reporting and internal control systems through an Audit Committee. This Committee meets periodically with management and annually with the independent auditors to review the scope and results of the annual audit and to review the financial statements and related financial reporting and internal control matters before the financial statements are approved by the Board of Directors and submitted to the shareholders of the Company. The Board of Directors of the Company has approved the financial statements and the disclosure contained in this MD&amp;A. A copy of this MD&amp;A will be provided to anyone who requests it</w:t>
      </w:r>
      <w:r w:rsidR="00D63237" w:rsidRPr="00F35544">
        <w:rPr>
          <w:sz w:val="20"/>
        </w:rPr>
        <w:t>.</w:t>
      </w:r>
    </w:p>
    <w:p w14:paraId="151BD2E5" w14:textId="043D7D36" w:rsidR="00493D25" w:rsidRDefault="00493D25" w:rsidP="00C750EC">
      <w:pPr>
        <w:adjustRightInd w:val="0"/>
        <w:rPr>
          <w:b/>
          <w:sz w:val="20"/>
        </w:rPr>
      </w:pPr>
    </w:p>
    <w:p w14:paraId="2D964532" w14:textId="55C934CA" w:rsidR="008201BC" w:rsidRPr="00F35544" w:rsidRDefault="00493D25" w:rsidP="00C750EC">
      <w:pPr>
        <w:adjustRightInd w:val="0"/>
        <w:rPr>
          <w:b/>
          <w:sz w:val="20"/>
        </w:rPr>
      </w:pPr>
      <w:r>
        <w:rPr>
          <w:b/>
          <w:sz w:val="20"/>
        </w:rPr>
        <w:br w:type="page"/>
      </w:r>
      <w:r w:rsidR="008201BC" w:rsidRPr="00F35544">
        <w:rPr>
          <w:b/>
          <w:sz w:val="20"/>
        </w:rPr>
        <w:lastRenderedPageBreak/>
        <w:t>Forward Looking Information</w:t>
      </w:r>
    </w:p>
    <w:p w14:paraId="78E94F4D" w14:textId="77777777" w:rsidR="00C750EC" w:rsidRPr="00F35544" w:rsidRDefault="00C750EC" w:rsidP="00C750EC">
      <w:pPr>
        <w:widowControl/>
        <w:jc w:val="both"/>
        <w:rPr>
          <w:sz w:val="20"/>
        </w:rPr>
      </w:pPr>
    </w:p>
    <w:p w14:paraId="29942965" w14:textId="4808649A" w:rsidR="00373DF8" w:rsidRPr="00F35544" w:rsidRDefault="00373DF8" w:rsidP="00C750EC">
      <w:pPr>
        <w:widowControl/>
        <w:jc w:val="both"/>
        <w:rPr>
          <w:sz w:val="20"/>
        </w:rPr>
      </w:pPr>
      <w:r w:rsidRPr="00F35544">
        <w:rPr>
          <w:sz w:val="20"/>
        </w:rPr>
        <w:t xml:space="preserve">Certain statements in this document constitute “forward-looking statements” and are based on current expectations and involve risks and uncertainties, referred to above and or in </w:t>
      </w:r>
      <w:r w:rsidR="002350A7" w:rsidRPr="00F35544">
        <w:rPr>
          <w:sz w:val="20"/>
        </w:rPr>
        <w:t>MegumaGold</w:t>
      </w:r>
      <w:r w:rsidRPr="00F35544">
        <w:rPr>
          <w:sz w:val="20"/>
        </w:rPr>
        <w:t>’s financial statements for the</w:t>
      </w:r>
      <w:r w:rsidR="00643BB3" w:rsidRPr="00F35544">
        <w:rPr>
          <w:sz w:val="20"/>
        </w:rPr>
        <w:t xml:space="preserve"> </w:t>
      </w:r>
      <w:r w:rsidR="00673A41">
        <w:rPr>
          <w:sz w:val="20"/>
        </w:rPr>
        <w:t>period ended</w:t>
      </w:r>
      <w:r w:rsidRPr="00F35544">
        <w:rPr>
          <w:sz w:val="20"/>
        </w:rPr>
        <w:t xml:space="preserve"> </w:t>
      </w:r>
      <w:r w:rsidR="00673A41">
        <w:rPr>
          <w:sz w:val="20"/>
        </w:rPr>
        <w:t>June 30</w:t>
      </w:r>
      <w:r w:rsidR="00F95D3F" w:rsidRPr="00F35544">
        <w:rPr>
          <w:sz w:val="20"/>
        </w:rPr>
        <w:t>, 20</w:t>
      </w:r>
      <w:r w:rsidR="00657F5D">
        <w:rPr>
          <w:sz w:val="20"/>
        </w:rPr>
        <w:t>20</w:t>
      </w:r>
      <w:r w:rsidRPr="00F35544">
        <w:rPr>
          <w:sz w:val="20"/>
        </w:rPr>
        <w:t xml:space="preserve">, that could cause actual events or results to differ materially from estimated or anticipated events or results reflected in the forward-looking statements. Examples of such forward looking statements include statements regarding financial results and expectations for </w:t>
      </w:r>
      <w:r w:rsidR="002C6FF7" w:rsidRPr="00F35544">
        <w:rPr>
          <w:sz w:val="20"/>
        </w:rPr>
        <w:t>201</w:t>
      </w:r>
      <w:r w:rsidR="008B3A8B" w:rsidRPr="00F35544">
        <w:rPr>
          <w:sz w:val="20"/>
        </w:rPr>
        <w:t>8</w:t>
      </w:r>
      <w:r w:rsidRPr="00F35544">
        <w:rPr>
          <w:sz w:val="20"/>
        </w:rPr>
        <w:t>, future anticipated results of exploration programs and development programs (including, without limitations, with respect to</w:t>
      </w:r>
      <w:r w:rsidR="000C6AB6" w:rsidRPr="00F35544">
        <w:rPr>
          <w:sz w:val="20"/>
        </w:rPr>
        <w:t xml:space="preserve"> the </w:t>
      </w:r>
      <w:r w:rsidR="002350A7" w:rsidRPr="00F35544">
        <w:rPr>
          <w:sz w:val="20"/>
        </w:rPr>
        <w:t xml:space="preserve">Cariboo Gold Properties, </w:t>
      </w:r>
      <w:r w:rsidR="008645C7">
        <w:rPr>
          <w:sz w:val="20"/>
        </w:rPr>
        <w:t>and</w:t>
      </w:r>
      <w:r w:rsidR="00CE076D" w:rsidRPr="00F35544">
        <w:rPr>
          <w:sz w:val="20"/>
        </w:rPr>
        <w:t>,</w:t>
      </w:r>
      <w:r w:rsidR="002350A7" w:rsidRPr="00F35544">
        <w:rPr>
          <w:sz w:val="20"/>
        </w:rPr>
        <w:t xml:space="preserve"> MegumaGold Property</w:t>
      </w:r>
      <w:r w:rsidRPr="00F35544">
        <w:rPr>
          <w:sz w:val="20"/>
        </w:rPr>
        <w:t>), including, but no</w:t>
      </w:r>
      <w:r w:rsidR="00887F53" w:rsidRPr="00F35544">
        <w:rPr>
          <w:sz w:val="20"/>
        </w:rPr>
        <w:t>t</w:t>
      </w:r>
      <w:r w:rsidRPr="00F35544">
        <w:rPr>
          <w:sz w:val="20"/>
        </w:rPr>
        <w:t xml:space="preserve"> limited to,  the geology, grade and continuity of mineral deposits and conclusions of economic evaluations, and the possibility that future exploration, development or mining results will not be consistent with the Company’s expectations, metal prices, demand for metals, currency exchange rates, political and operational risks inherent in mining or development activities, legislative factors relating to prices, taxes, royalties, land use, title and permits, importing and exporting of minerals, environmental protection, expenditures on property, plant and equipment, increases and decreases in reserves and/or resources and anticipated grades and recovery rates and are or may be based on assumptions and/or estimates related to future economic, market and other conditions. This list is not exhaustive and should be considered carefully by prospective investors, who should not place undue reliance on such forward-looking statements. Factors that could cause actual results, developments or events to differ materially from those anticipated include, among others, the factors described or referred to elsewhere herein including, without limitation, under the heading “Risks and Uncertainties” and/or the financial </w:t>
      </w:r>
      <w:r w:rsidR="00850B93" w:rsidRPr="00F35544">
        <w:rPr>
          <w:sz w:val="20"/>
        </w:rPr>
        <w:t>statements and</w:t>
      </w:r>
      <w:r w:rsidRPr="00F35544">
        <w:rPr>
          <w:sz w:val="20"/>
        </w:rPr>
        <w:t xml:space="preserve"> include unanticipated and/or unusual events as well as actual results of planned exploration and development programs and associated risk. Many of such factors are beyond </w:t>
      </w:r>
      <w:r w:rsidR="002350A7" w:rsidRPr="00F35544">
        <w:rPr>
          <w:sz w:val="20"/>
        </w:rPr>
        <w:t xml:space="preserve">the Company’s </w:t>
      </w:r>
      <w:r w:rsidRPr="00F35544">
        <w:rPr>
          <w:sz w:val="20"/>
        </w:rPr>
        <w:t>ability to control or predict. Actual results may differ materially from those anticipated. Readers of this MD&amp;A are cautioned not to put undue reliance on forward looking statements due to their inherent uncertainty. Forward-looking statements are made based upon management’s beliefs, estimates and opinions on the date the statements are made, which management believes are reasonable</w:t>
      </w:r>
      <w:r w:rsidR="000322E1" w:rsidRPr="00F35544">
        <w:rPr>
          <w:sz w:val="20"/>
        </w:rPr>
        <w:t xml:space="preserve">, and the Company undertakes no </w:t>
      </w:r>
      <w:r w:rsidRPr="00F35544">
        <w:rPr>
          <w:sz w:val="20"/>
        </w:rPr>
        <w:t xml:space="preserve">obligation to update forward-looking statements if these beliefs, estimates and opinions or other circumstances should change, except as otherwise required by applicable law. These forward-looking statements should not be relied upon as representing management’s views as of any date subsequent to the date of this MD&amp;A. Additional information, including interim and annual consolidated financial statements, the management information circulars and other disclosure documents, may also be examined and/or obtained through the Internet by accessing </w:t>
      </w:r>
      <w:r w:rsidR="002350A7" w:rsidRPr="00F35544">
        <w:rPr>
          <w:sz w:val="20"/>
        </w:rPr>
        <w:t>MegumaGold</w:t>
      </w:r>
      <w:r w:rsidRPr="00F35544">
        <w:rPr>
          <w:sz w:val="20"/>
        </w:rPr>
        <w:t>’s website at www.</w:t>
      </w:r>
      <w:r w:rsidR="002350A7" w:rsidRPr="00F35544">
        <w:rPr>
          <w:sz w:val="20"/>
        </w:rPr>
        <w:t>megumagold</w:t>
      </w:r>
      <w:r w:rsidRPr="00F35544">
        <w:rPr>
          <w:sz w:val="20"/>
        </w:rPr>
        <w:t xml:space="preserve">.com or by accessing the Canadian System for Electronic Document Analysis and Retrieval (“SEDAR”) website at </w:t>
      </w:r>
      <w:hyperlink r:id="rId20" w:history="1">
        <w:r w:rsidRPr="00F35544">
          <w:rPr>
            <w:rStyle w:val="Hyperlink"/>
            <w:color w:val="auto"/>
            <w:sz w:val="20"/>
          </w:rPr>
          <w:t>www.sedar.com</w:t>
        </w:r>
      </w:hyperlink>
      <w:r w:rsidRPr="00F35544">
        <w:rPr>
          <w:sz w:val="20"/>
        </w:rPr>
        <w:t>.</w:t>
      </w:r>
    </w:p>
    <w:p w14:paraId="3404DB3D" w14:textId="77777777" w:rsidR="008201BC" w:rsidRPr="00F35544" w:rsidRDefault="008201BC" w:rsidP="008201BC">
      <w:pPr>
        <w:widowControl/>
        <w:autoSpaceDE w:val="0"/>
        <w:autoSpaceDN w:val="0"/>
        <w:adjustRightInd w:val="0"/>
        <w:spacing w:after="120"/>
        <w:jc w:val="both"/>
        <w:rPr>
          <w:sz w:val="20"/>
        </w:rPr>
      </w:pPr>
    </w:p>
    <w:sectPr w:rsidR="008201BC" w:rsidRPr="00F35544" w:rsidSect="00377F79">
      <w:headerReference w:type="firs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4C09E" w14:textId="77777777" w:rsidR="00E907EF" w:rsidRDefault="00E907EF" w:rsidP="00B6553D">
      <w:r>
        <w:separator/>
      </w:r>
    </w:p>
  </w:endnote>
  <w:endnote w:type="continuationSeparator" w:id="0">
    <w:p w14:paraId="7EF65212" w14:textId="77777777" w:rsidR="00E907EF" w:rsidRDefault="00E907EF" w:rsidP="00B6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haroni">
    <w:charset w:val="B1"/>
    <w:family w:val="auto"/>
    <w:pitch w:val="variable"/>
    <w:sig w:usb0="00000803" w:usb1="00000000" w:usb2="00000000" w:usb3="00000000" w:csb0="00000021" w:csb1="00000000"/>
  </w:font>
  <w:font w:name="PMingLiU">
    <w:altName w:val="新細明體"/>
    <w:panose1 w:val="02010601000101010101"/>
    <w:charset w:val="88"/>
    <w:family w:val="auto"/>
    <w:notTrueType/>
    <w:pitch w:val="variable"/>
    <w:sig w:usb0="00000001" w:usb1="08080000" w:usb2="00000010" w:usb3="00000000" w:csb0="00100000" w:csb1="00000000"/>
  </w:font>
  <w:font w:name="Tempus Sans ITC">
    <w:panose1 w:val="04020404030D07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9020" w14:textId="4BF2BB80" w:rsidR="00F704C7" w:rsidRPr="00705DF6" w:rsidRDefault="00F704C7" w:rsidP="008416BD">
    <w:pPr>
      <w:pStyle w:val="Footer"/>
      <w:jc w:val="center"/>
      <w:rPr>
        <w:rFonts w:ascii="Cambria" w:hAnsi="Cambria"/>
      </w:rPr>
    </w:pPr>
    <w:r w:rsidRPr="00705DF6">
      <w:rPr>
        <w:rFonts w:ascii="Cambria" w:hAnsi="Cambria" w:cs="Aharoni"/>
        <w:b/>
        <w:caps/>
        <w:lang w:bidi="he-IL"/>
      </w:rPr>
      <w:fldChar w:fldCharType="begin"/>
    </w:r>
    <w:r w:rsidRPr="00705DF6">
      <w:rPr>
        <w:rFonts w:ascii="Cambria" w:hAnsi="Cambria" w:cs="Aharoni"/>
        <w:b/>
        <w:caps/>
        <w:lang w:bidi="he-IL"/>
      </w:rPr>
      <w:instrText xml:space="preserve"> PAGE   \* MERGEFORMAT </w:instrText>
    </w:r>
    <w:r w:rsidRPr="00705DF6">
      <w:rPr>
        <w:rFonts w:ascii="Cambria" w:hAnsi="Cambria" w:cs="Aharoni"/>
        <w:b/>
        <w:caps/>
        <w:lang w:bidi="he-IL"/>
      </w:rPr>
      <w:fldChar w:fldCharType="separate"/>
    </w:r>
    <w:r w:rsidR="009B3E47">
      <w:rPr>
        <w:rFonts w:ascii="Cambria" w:hAnsi="Cambria" w:cs="Aharoni"/>
        <w:b/>
        <w:caps/>
        <w:noProof/>
        <w:lang w:bidi="he-IL"/>
      </w:rPr>
      <w:t>31</w:t>
    </w:r>
    <w:r w:rsidRPr="00705DF6">
      <w:rPr>
        <w:rFonts w:ascii="Cambria" w:hAnsi="Cambria" w:cs="Aharoni"/>
        <w:b/>
        <w:caps/>
        <w:lang w:bidi="he-IL"/>
      </w:rPr>
      <w:fldChar w:fldCharType="end"/>
    </w:r>
  </w:p>
  <w:p w14:paraId="5FB6F96F" w14:textId="77777777" w:rsidR="00F704C7" w:rsidRDefault="00F704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10E83" w14:textId="0B926D5D" w:rsidR="00F704C7" w:rsidRPr="00705DF6" w:rsidRDefault="00F704C7" w:rsidP="008416BD">
    <w:pPr>
      <w:pStyle w:val="Footer"/>
      <w:jc w:val="center"/>
      <w:rPr>
        <w:rFonts w:ascii="Cambria" w:hAnsi="Cambria"/>
      </w:rPr>
    </w:pPr>
    <w:r w:rsidRPr="00705DF6">
      <w:rPr>
        <w:rFonts w:ascii="Cambria" w:hAnsi="Cambria" w:cs="Aharoni"/>
        <w:b/>
        <w:caps/>
        <w:lang w:bidi="he-IL"/>
      </w:rPr>
      <w:fldChar w:fldCharType="begin"/>
    </w:r>
    <w:r w:rsidRPr="00705DF6">
      <w:rPr>
        <w:rFonts w:ascii="Cambria" w:hAnsi="Cambria" w:cs="Aharoni"/>
        <w:b/>
        <w:caps/>
        <w:lang w:bidi="he-IL"/>
      </w:rPr>
      <w:instrText xml:space="preserve"> PAGE   \* MERGEFORMAT </w:instrText>
    </w:r>
    <w:r w:rsidRPr="00705DF6">
      <w:rPr>
        <w:rFonts w:ascii="Cambria" w:hAnsi="Cambria" w:cs="Aharoni"/>
        <w:b/>
        <w:caps/>
        <w:lang w:bidi="he-IL"/>
      </w:rPr>
      <w:fldChar w:fldCharType="separate"/>
    </w:r>
    <w:r w:rsidR="009B3E47">
      <w:rPr>
        <w:rFonts w:ascii="Cambria" w:hAnsi="Cambria" w:cs="Aharoni"/>
        <w:b/>
        <w:caps/>
        <w:noProof/>
        <w:lang w:bidi="he-IL"/>
      </w:rPr>
      <w:t>2</w:t>
    </w:r>
    <w:r w:rsidRPr="00705DF6">
      <w:rPr>
        <w:rFonts w:ascii="Cambria" w:hAnsi="Cambria" w:cs="Aharoni"/>
        <w:b/>
        <w:caps/>
        <w:lang w:bidi="he-I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A5CF4" w14:textId="77777777" w:rsidR="00E907EF" w:rsidRDefault="00E907EF" w:rsidP="00B6553D">
      <w:r>
        <w:separator/>
      </w:r>
    </w:p>
  </w:footnote>
  <w:footnote w:type="continuationSeparator" w:id="0">
    <w:p w14:paraId="0821C9AB" w14:textId="77777777" w:rsidR="00E907EF" w:rsidRDefault="00E907EF" w:rsidP="00B655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1F428" w14:textId="77777777" w:rsidR="00F704C7" w:rsidRPr="00705DF6" w:rsidRDefault="00F704C7" w:rsidP="00705DF6">
    <w:pPr>
      <w:pStyle w:val="Header"/>
      <w:rPr>
        <w:rFonts w:ascii="Cambria" w:hAnsi="Cambria" w:cs="Aharoni"/>
        <w:b/>
        <w:caps/>
        <w:szCs w:val="24"/>
        <w:lang w:bidi="he-IL"/>
      </w:rPr>
    </w:pPr>
    <w:r w:rsidRPr="00705DF6">
      <w:rPr>
        <w:rFonts w:ascii="Cambria" w:hAnsi="Cambria" w:cs="Aharoni"/>
        <w:b/>
        <w:caps/>
        <w:szCs w:val="24"/>
        <w:lang w:bidi="he-IL"/>
      </w:rPr>
      <w:t xml:space="preserve">megumagold corp. </w:t>
    </w:r>
  </w:p>
  <w:p w14:paraId="7BA08D9A" w14:textId="77777777" w:rsidR="00F704C7" w:rsidRPr="00705DF6" w:rsidRDefault="00F704C7" w:rsidP="00705DF6">
    <w:pPr>
      <w:pStyle w:val="Header"/>
      <w:rPr>
        <w:rFonts w:ascii="Cambria" w:hAnsi="Cambria" w:cs="Aharoni"/>
        <w:b/>
        <w:caps/>
        <w:szCs w:val="24"/>
        <w:lang w:bidi="he-IL"/>
      </w:rPr>
    </w:pPr>
    <w:r w:rsidRPr="00705DF6">
      <w:rPr>
        <w:rFonts w:ascii="Cambria" w:hAnsi="Cambria" w:cs="Aharoni"/>
        <w:b/>
        <w:caps/>
        <w:szCs w:val="24"/>
        <w:lang w:bidi="he-IL"/>
      </w:rPr>
      <w:t>Management Discussion &amp; Analysis</w:t>
    </w:r>
  </w:p>
  <w:p w14:paraId="59653C70" w14:textId="06991883" w:rsidR="00F704C7" w:rsidRPr="00705DF6" w:rsidRDefault="00F704C7" w:rsidP="00705DF6">
    <w:pPr>
      <w:pStyle w:val="Header"/>
      <w:pBdr>
        <w:bottom w:val="single" w:sz="4" w:space="1" w:color="auto"/>
      </w:pBdr>
      <w:rPr>
        <w:rFonts w:ascii="Cambria" w:hAnsi="Cambria" w:cs="Aharoni"/>
        <w:b/>
        <w:caps/>
        <w:szCs w:val="24"/>
        <w:lang w:bidi="he-IL"/>
      </w:rPr>
    </w:pPr>
    <w:r w:rsidRPr="00705DF6">
      <w:rPr>
        <w:rFonts w:ascii="Cambria" w:hAnsi="Cambria" w:cs="Aharoni"/>
        <w:b/>
        <w:caps/>
        <w:szCs w:val="24"/>
        <w:lang w:bidi="he-IL"/>
      </w:rPr>
      <w:t xml:space="preserve">For the </w:t>
    </w:r>
    <w:r>
      <w:rPr>
        <w:rFonts w:ascii="Cambria" w:hAnsi="Cambria" w:cs="Aharoni"/>
        <w:b/>
        <w:caps/>
        <w:szCs w:val="24"/>
        <w:lang w:bidi="he-IL"/>
      </w:rPr>
      <w:t>PERIOD ENDED JUNE 30, 2020 and 2019</w:t>
    </w:r>
  </w:p>
  <w:p w14:paraId="1BCC7952" w14:textId="77777777" w:rsidR="00F704C7" w:rsidRDefault="00F704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22C68" w14:textId="77777777" w:rsidR="00F704C7" w:rsidRDefault="00F704C7" w:rsidP="00705DF6">
    <w:pPr>
      <w:pStyle w:val="Header"/>
      <w:rPr>
        <w:rFonts w:ascii="Cambria" w:hAnsi="Cambria" w:cs="Aharoni"/>
        <w:b/>
        <w:caps/>
        <w:szCs w:val="24"/>
        <w:lang w:bidi="he-IL"/>
      </w:rPr>
    </w:pPr>
    <w:r w:rsidRPr="00705DF6">
      <w:rPr>
        <w:rFonts w:ascii="Cambria" w:hAnsi="Cambria" w:cs="Aharoni"/>
        <w:b/>
        <w:caps/>
        <w:szCs w:val="24"/>
        <w:lang w:bidi="he-IL"/>
      </w:rPr>
      <w:t xml:space="preserve">megumagold corp. </w:t>
    </w:r>
  </w:p>
  <w:p w14:paraId="610E7236" w14:textId="77777777" w:rsidR="00F704C7" w:rsidRPr="00705DF6" w:rsidRDefault="00F704C7" w:rsidP="00705DF6">
    <w:pPr>
      <w:pStyle w:val="Header"/>
      <w:rPr>
        <w:rFonts w:ascii="Cambria" w:hAnsi="Cambria" w:cs="Aharoni"/>
        <w:b/>
        <w:caps/>
        <w:szCs w:val="24"/>
        <w:lang w:bidi="he-IL"/>
      </w:rPr>
    </w:pPr>
    <w:r w:rsidRPr="00705DF6">
      <w:rPr>
        <w:rFonts w:ascii="Cambria" w:hAnsi="Cambria" w:cs="Aharoni"/>
        <w:b/>
        <w:caps/>
        <w:szCs w:val="24"/>
        <w:lang w:bidi="he-IL"/>
      </w:rPr>
      <w:t>Management Discussion &amp; Analysis</w:t>
    </w:r>
  </w:p>
  <w:p w14:paraId="0240790F" w14:textId="129040AA" w:rsidR="00F704C7" w:rsidRPr="00705DF6" w:rsidRDefault="00F704C7" w:rsidP="00705DF6">
    <w:pPr>
      <w:pStyle w:val="Header"/>
      <w:pBdr>
        <w:bottom w:val="single" w:sz="4" w:space="1" w:color="auto"/>
      </w:pBdr>
      <w:rPr>
        <w:rFonts w:ascii="Cambria" w:hAnsi="Cambria" w:cs="Aharoni"/>
        <w:b/>
        <w:caps/>
        <w:szCs w:val="24"/>
        <w:lang w:bidi="he-IL"/>
      </w:rPr>
    </w:pPr>
    <w:r w:rsidRPr="00705DF6">
      <w:rPr>
        <w:rFonts w:ascii="Cambria" w:hAnsi="Cambria" w:cs="Aharoni"/>
        <w:b/>
        <w:caps/>
        <w:szCs w:val="24"/>
        <w:lang w:bidi="he-IL"/>
      </w:rPr>
      <w:t>For the</w:t>
    </w:r>
    <w:r>
      <w:rPr>
        <w:rFonts w:ascii="Cambria" w:hAnsi="Cambria" w:cs="Aharoni"/>
        <w:b/>
        <w:caps/>
        <w:szCs w:val="24"/>
        <w:lang w:bidi="he-IL"/>
      </w:rPr>
      <w:t xml:space="preserve"> PERIOD ended JUNE 30, 2020 and 2019</w:t>
    </w:r>
  </w:p>
  <w:p w14:paraId="7E70D617" w14:textId="77777777" w:rsidR="00F704C7" w:rsidRPr="00602D3F" w:rsidRDefault="00F704C7" w:rsidP="005665B8">
    <w:pPr>
      <w:pStyle w:val="Header"/>
      <w:rPr>
        <w:rFonts w:ascii="Tempus Sans ITC" w:hAnsi="Tempus Sans ITC"/>
        <w:b/>
        <w:caps/>
        <w:color w:val="17365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1D7"/>
    <w:multiLevelType w:val="hybridMultilevel"/>
    <w:tmpl w:val="2A5A21E6"/>
    <w:name w:val="AutoList13"/>
    <w:lvl w:ilvl="0" w:tplc="FFFFFFFF">
      <w:start w:val="1"/>
      <w:numFmt w:val="decimal"/>
      <w:pStyle w:val="HEADERNOTESWITHNUMBERS"/>
      <w:lvlText w:val="%1."/>
      <w:lvlJc w:val="left"/>
      <w:pPr>
        <w:tabs>
          <w:tab w:val="num" w:pos="-720"/>
        </w:tabs>
        <w:ind w:left="-1224" w:firstLine="1224"/>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0F71116A"/>
    <w:multiLevelType w:val="hybridMultilevel"/>
    <w:tmpl w:val="C346DA40"/>
    <w:lvl w:ilvl="0" w:tplc="1984398A">
      <w:start w:val="12"/>
      <w:numFmt w:val="bullet"/>
      <w:lvlText w:val="-"/>
      <w:lvlJc w:val="left"/>
      <w:pPr>
        <w:ind w:left="810" w:hanging="360"/>
      </w:pPr>
      <w:rPr>
        <w:rFonts w:ascii="Cambria" w:eastAsia="Times New Roman" w:hAnsi="Cambri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0025672"/>
    <w:multiLevelType w:val="hybridMultilevel"/>
    <w:tmpl w:val="197AB862"/>
    <w:lvl w:ilvl="0" w:tplc="DD38682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4718FB"/>
    <w:multiLevelType w:val="hybridMultilevel"/>
    <w:tmpl w:val="DF0EA6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0B53469"/>
    <w:multiLevelType w:val="hybridMultilevel"/>
    <w:tmpl w:val="EC3C72EC"/>
    <w:lvl w:ilvl="0" w:tplc="B49AE73E">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B133F2"/>
    <w:multiLevelType w:val="hybridMultilevel"/>
    <w:tmpl w:val="31C25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CB05381"/>
    <w:multiLevelType w:val="hybridMultilevel"/>
    <w:tmpl w:val="64EC1C7E"/>
    <w:lvl w:ilvl="0" w:tplc="2580F1A8">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206910FA"/>
    <w:multiLevelType w:val="hybridMultilevel"/>
    <w:tmpl w:val="EC2A9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7EC492B"/>
    <w:multiLevelType w:val="hybridMultilevel"/>
    <w:tmpl w:val="18CE1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92C45C3"/>
    <w:multiLevelType w:val="hybridMultilevel"/>
    <w:tmpl w:val="E6D4D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A111BB2"/>
    <w:multiLevelType w:val="hybridMultilevel"/>
    <w:tmpl w:val="227E943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60EC2"/>
    <w:multiLevelType w:val="hybridMultilevel"/>
    <w:tmpl w:val="C7883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E663925"/>
    <w:multiLevelType w:val="hybridMultilevel"/>
    <w:tmpl w:val="2D76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001B1"/>
    <w:multiLevelType w:val="hybridMultilevel"/>
    <w:tmpl w:val="CA665A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924AF"/>
    <w:multiLevelType w:val="hybridMultilevel"/>
    <w:tmpl w:val="F18E7008"/>
    <w:lvl w:ilvl="0" w:tplc="19EA9D1E">
      <w:numFmt w:val="bullet"/>
      <w:lvlText w:val="•"/>
      <w:lvlJc w:val="left"/>
      <w:pPr>
        <w:ind w:left="1800" w:hanging="360"/>
      </w:pPr>
      <w:rPr>
        <w:rFonts w:ascii="Cambria" w:eastAsia="Times New Roman" w:hAnsi="Cambria"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0391074"/>
    <w:multiLevelType w:val="hybridMultilevel"/>
    <w:tmpl w:val="A5D8F6CE"/>
    <w:lvl w:ilvl="0" w:tplc="6C60110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305A7B"/>
    <w:multiLevelType w:val="hybridMultilevel"/>
    <w:tmpl w:val="CD388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42F0DF8"/>
    <w:multiLevelType w:val="hybridMultilevel"/>
    <w:tmpl w:val="53F2F6DE"/>
    <w:lvl w:ilvl="0" w:tplc="54001E8C">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4A667B1A"/>
    <w:multiLevelType w:val="hybridMultilevel"/>
    <w:tmpl w:val="DF3C9352"/>
    <w:lvl w:ilvl="0" w:tplc="10090017">
      <w:start w:val="1"/>
      <w:numFmt w:val="lowerLetter"/>
      <w:lvlText w:val="%1)"/>
      <w:lvlJc w:val="left"/>
      <w:pPr>
        <w:ind w:left="1080" w:hanging="360"/>
      </w:pPr>
      <w:rPr>
        <w:rFonts w:cs="Times New Roman"/>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19">
    <w:nsid w:val="4E707174"/>
    <w:multiLevelType w:val="hybridMultilevel"/>
    <w:tmpl w:val="5BC4E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FA24E59"/>
    <w:multiLevelType w:val="hybridMultilevel"/>
    <w:tmpl w:val="E3921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5E6245C"/>
    <w:multiLevelType w:val="hybridMultilevel"/>
    <w:tmpl w:val="21F04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9961748"/>
    <w:multiLevelType w:val="hybridMultilevel"/>
    <w:tmpl w:val="92124A1E"/>
    <w:lvl w:ilvl="0" w:tplc="42D0A67A">
      <w:start w:val="1"/>
      <w:numFmt w:val="lowerLetter"/>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3">
    <w:nsid w:val="5DA70CD3"/>
    <w:multiLevelType w:val="hybridMultilevel"/>
    <w:tmpl w:val="EBE099EA"/>
    <w:lvl w:ilvl="0" w:tplc="15B65DC6">
      <w:start w:val="1"/>
      <w:numFmt w:val="bullet"/>
      <w:lvlText w:val="-"/>
      <w:lvlJc w:val="left"/>
      <w:pPr>
        <w:ind w:left="720" w:hanging="360"/>
      </w:pPr>
      <w:rPr>
        <w:rFonts w:ascii="Cambria" w:eastAsia="Times New Roman"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0A55AEC"/>
    <w:multiLevelType w:val="hybridMultilevel"/>
    <w:tmpl w:val="32ECCD76"/>
    <w:lvl w:ilvl="0" w:tplc="AF5E1A8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677E57"/>
    <w:multiLevelType w:val="hybridMultilevel"/>
    <w:tmpl w:val="30185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4241852"/>
    <w:multiLevelType w:val="hybridMultilevel"/>
    <w:tmpl w:val="7E9A5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97A28CC"/>
    <w:multiLevelType w:val="hybridMultilevel"/>
    <w:tmpl w:val="1B0E66AC"/>
    <w:lvl w:ilvl="0" w:tplc="4FACEAF8">
      <w:start w:val="1"/>
      <w:numFmt w:val="bullet"/>
      <w:lvlText w:val=""/>
      <w:lvlJc w:val="left"/>
      <w:pPr>
        <w:ind w:left="177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D65876"/>
    <w:multiLevelType w:val="hybridMultilevel"/>
    <w:tmpl w:val="F854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C7608"/>
    <w:multiLevelType w:val="hybridMultilevel"/>
    <w:tmpl w:val="B37C3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A74149A"/>
    <w:multiLevelType w:val="hybridMultilevel"/>
    <w:tmpl w:val="FDB25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AB71F3A"/>
    <w:multiLevelType w:val="hybridMultilevel"/>
    <w:tmpl w:val="73260E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7C6162B8"/>
    <w:multiLevelType w:val="hybridMultilevel"/>
    <w:tmpl w:val="C72EDA58"/>
    <w:lvl w:ilvl="0" w:tplc="AF5E1A8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8E777A"/>
    <w:multiLevelType w:val="multilevel"/>
    <w:tmpl w:val="C8D2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0"/>
  </w:num>
  <w:num w:numId="3">
    <w:abstractNumId w:val="18"/>
  </w:num>
  <w:num w:numId="4">
    <w:abstractNumId w:val="22"/>
  </w:num>
  <w:num w:numId="5">
    <w:abstractNumId w:val="17"/>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6"/>
  </w:num>
  <w:num w:numId="9">
    <w:abstractNumId w:val="28"/>
  </w:num>
  <w:num w:numId="10">
    <w:abstractNumId w:val="26"/>
  </w:num>
  <w:num w:numId="11">
    <w:abstractNumId w:val="20"/>
  </w:num>
  <w:num w:numId="12">
    <w:abstractNumId w:val="4"/>
  </w:num>
  <w:num w:numId="13">
    <w:abstractNumId w:val="2"/>
  </w:num>
  <w:num w:numId="14">
    <w:abstractNumId w:val="21"/>
  </w:num>
  <w:num w:numId="15">
    <w:abstractNumId w:val="9"/>
  </w:num>
  <w:num w:numId="16">
    <w:abstractNumId w:val="5"/>
  </w:num>
  <w:num w:numId="17">
    <w:abstractNumId w:val="29"/>
  </w:num>
  <w:num w:numId="18">
    <w:abstractNumId w:val="25"/>
  </w:num>
  <w:num w:numId="19">
    <w:abstractNumId w:val="19"/>
  </w:num>
  <w:num w:numId="20">
    <w:abstractNumId w:val="8"/>
  </w:num>
  <w:num w:numId="21">
    <w:abstractNumId w:val="16"/>
  </w:num>
  <w:num w:numId="22">
    <w:abstractNumId w:val="7"/>
  </w:num>
  <w:num w:numId="23">
    <w:abstractNumId w:val="30"/>
  </w:num>
  <w:num w:numId="24">
    <w:abstractNumId w:val="10"/>
  </w:num>
  <w:num w:numId="25">
    <w:abstractNumId w:val="13"/>
  </w:num>
  <w:num w:numId="26">
    <w:abstractNumId w:val="14"/>
  </w:num>
  <w:num w:numId="27">
    <w:abstractNumId w:val="15"/>
  </w:num>
  <w:num w:numId="28">
    <w:abstractNumId w:val="24"/>
  </w:num>
  <w:num w:numId="29">
    <w:abstractNumId w:val="1"/>
  </w:num>
  <w:num w:numId="30">
    <w:abstractNumId w:val="3"/>
  </w:num>
  <w:num w:numId="31">
    <w:abstractNumId w:val="23"/>
  </w:num>
  <w:num w:numId="32">
    <w:abstractNumId w:val="11"/>
  </w:num>
  <w:num w:numId="33">
    <w:abstractNumId w:val="32"/>
  </w:num>
  <w:num w:numId="34">
    <w:abstractNumId w:val="12"/>
  </w:num>
  <w:num w:numId="35">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478"/>
    <w:rsid w:val="00000104"/>
    <w:rsid w:val="000019E8"/>
    <w:rsid w:val="000021BA"/>
    <w:rsid w:val="00002A1F"/>
    <w:rsid w:val="00003F05"/>
    <w:rsid w:val="00004AF2"/>
    <w:rsid w:val="00006E74"/>
    <w:rsid w:val="00007701"/>
    <w:rsid w:val="00007776"/>
    <w:rsid w:val="000078E2"/>
    <w:rsid w:val="00007BD7"/>
    <w:rsid w:val="00010F5C"/>
    <w:rsid w:val="00011134"/>
    <w:rsid w:val="00012922"/>
    <w:rsid w:val="0001562A"/>
    <w:rsid w:val="00015FAA"/>
    <w:rsid w:val="00022507"/>
    <w:rsid w:val="00022B1A"/>
    <w:rsid w:val="000237BE"/>
    <w:rsid w:val="000237DF"/>
    <w:rsid w:val="00023DEC"/>
    <w:rsid w:val="00023DF0"/>
    <w:rsid w:val="00024725"/>
    <w:rsid w:val="00024F19"/>
    <w:rsid w:val="00025172"/>
    <w:rsid w:val="00026735"/>
    <w:rsid w:val="00026C40"/>
    <w:rsid w:val="0003024E"/>
    <w:rsid w:val="00031521"/>
    <w:rsid w:val="000322E1"/>
    <w:rsid w:val="00033E04"/>
    <w:rsid w:val="000360A1"/>
    <w:rsid w:val="000366A9"/>
    <w:rsid w:val="00040E01"/>
    <w:rsid w:val="00043BE0"/>
    <w:rsid w:val="000449C5"/>
    <w:rsid w:val="00044AEF"/>
    <w:rsid w:val="0004512C"/>
    <w:rsid w:val="00046E6B"/>
    <w:rsid w:val="00047F41"/>
    <w:rsid w:val="0005052D"/>
    <w:rsid w:val="00052176"/>
    <w:rsid w:val="000528D7"/>
    <w:rsid w:val="0005339B"/>
    <w:rsid w:val="00053543"/>
    <w:rsid w:val="00053892"/>
    <w:rsid w:val="000543A3"/>
    <w:rsid w:val="00054446"/>
    <w:rsid w:val="00054935"/>
    <w:rsid w:val="00055544"/>
    <w:rsid w:val="00057266"/>
    <w:rsid w:val="00057405"/>
    <w:rsid w:val="000626A8"/>
    <w:rsid w:val="0006289D"/>
    <w:rsid w:val="00063203"/>
    <w:rsid w:val="000656D2"/>
    <w:rsid w:val="00065F4D"/>
    <w:rsid w:val="000661C0"/>
    <w:rsid w:val="000667FC"/>
    <w:rsid w:val="000670CC"/>
    <w:rsid w:val="00067607"/>
    <w:rsid w:val="00070254"/>
    <w:rsid w:val="00070A83"/>
    <w:rsid w:val="00070F18"/>
    <w:rsid w:val="00074F6F"/>
    <w:rsid w:val="00076710"/>
    <w:rsid w:val="00077AB5"/>
    <w:rsid w:val="000811BA"/>
    <w:rsid w:val="000823D2"/>
    <w:rsid w:val="00082F5D"/>
    <w:rsid w:val="00083732"/>
    <w:rsid w:val="00084CF0"/>
    <w:rsid w:val="000854FE"/>
    <w:rsid w:val="000861C2"/>
    <w:rsid w:val="00091420"/>
    <w:rsid w:val="000928F5"/>
    <w:rsid w:val="00092F9A"/>
    <w:rsid w:val="00093654"/>
    <w:rsid w:val="00094797"/>
    <w:rsid w:val="000949AC"/>
    <w:rsid w:val="00094B1D"/>
    <w:rsid w:val="000966D5"/>
    <w:rsid w:val="00097D82"/>
    <w:rsid w:val="000A15D2"/>
    <w:rsid w:val="000A20E8"/>
    <w:rsid w:val="000A246D"/>
    <w:rsid w:val="000A4868"/>
    <w:rsid w:val="000A4D1B"/>
    <w:rsid w:val="000A4DD8"/>
    <w:rsid w:val="000B2B16"/>
    <w:rsid w:val="000B2EC2"/>
    <w:rsid w:val="000B319C"/>
    <w:rsid w:val="000B4C5A"/>
    <w:rsid w:val="000B4E2B"/>
    <w:rsid w:val="000B624A"/>
    <w:rsid w:val="000B658B"/>
    <w:rsid w:val="000B7025"/>
    <w:rsid w:val="000B7EE1"/>
    <w:rsid w:val="000C0386"/>
    <w:rsid w:val="000C166A"/>
    <w:rsid w:val="000C2DAC"/>
    <w:rsid w:val="000C35DC"/>
    <w:rsid w:val="000C41F7"/>
    <w:rsid w:val="000C4412"/>
    <w:rsid w:val="000C4437"/>
    <w:rsid w:val="000C4571"/>
    <w:rsid w:val="000C6AB6"/>
    <w:rsid w:val="000D167D"/>
    <w:rsid w:val="000D1BB4"/>
    <w:rsid w:val="000D4E73"/>
    <w:rsid w:val="000D6657"/>
    <w:rsid w:val="000D73FB"/>
    <w:rsid w:val="000D7F18"/>
    <w:rsid w:val="000E0CA9"/>
    <w:rsid w:val="000E11C3"/>
    <w:rsid w:val="000E1532"/>
    <w:rsid w:val="000E228B"/>
    <w:rsid w:val="000E24C8"/>
    <w:rsid w:val="000E3261"/>
    <w:rsid w:val="000E39D7"/>
    <w:rsid w:val="000E51D5"/>
    <w:rsid w:val="000E60B6"/>
    <w:rsid w:val="000E6359"/>
    <w:rsid w:val="000E6C26"/>
    <w:rsid w:val="000F0DEB"/>
    <w:rsid w:val="000F26BD"/>
    <w:rsid w:val="000F292D"/>
    <w:rsid w:val="000F34A5"/>
    <w:rsid w:val="000F355A"/>
    <w:rsid w:val="000F4D05"/>
    <w:rsid w:val="000F5AB8"/>
    <w:rsid w:val="000F60B8"/>
    <w:rsid w:val="000F68C8"/>
    <w:rsid w:val="001000CA"/>
    <w:rsid w:val="00101212"/>
    <w:rsid w:val="00101312"/>
    <w:rsid w:val="00102944"/>
    <w:rsid w:val="00103032"/>
    <w:rsid w:val="001040C4"/>
    <w:rsid w:val="00104337"/>
    <w:rsid w:val="0010594B"/>
    <w:rsid w:val="00106DE6"/>
    <w:rsid w:val="00107038"/>
    <w:rsid w:val="001124AC"/>
    <w:rsid w:val="00114B1D"/>
    <w:rsid w:val="00114B60"/>
    <w:rsid w:val="0011678D"/>
    <w:rsid w:val="00116F67"/>
    <w:rsid w:val="0011711C"/>
    <w:rsid w:val="00117152"/>
    <w:rsid w:val="001178AA"/>
    <w:rsid w:val="001226F0"/>
    <w:rsid w:val="00123DC8"/>
    <w:rsid w:val="0012418D"/>
    <w:rsid w:val="00126B2D"/>
    <w:rsid w:val="00130A44"/>
    <w:rsid w:val="001329DF"/>
    <w:rsid w:val="001334A3"/>
    <w:rsid w:val="0013378E"/>
    <w:rsid w:val="00134316"/>
    <w:rsid w:val="00134BC9"/>
    <w:rsid w:val="00134E8F"/>
    <w:rsid w:val="001354B7"/>
    <w:rsid w:val="00135686"/>
    <w:rsid w:val="00136733"/>
    <w:rsid w:val="00140B3C"/>
    <w:rsid w:val="00141BAF"/>
    <w:rsid w:val="00141D09"/>
    <w:rsid w:val="001439F1"/>
    <w:rsid w:val="00147396"/>
    <w:rsid w:val="00147880"/>
    <w:rsid w:val="001512CC"/>
    <w:rsid w:val="00151FF1"/>
    <w:rsid w:val="00154539"/>
    <w:rsid w:val="001546C5"/>
    <w:rsid w:val="00154DCC"/>
    <w:rsid w:val="0015545C"/>
    <w:rsid w:val="00155DC4"/>
    <w:rsid w:val="00160847"/>
    <w:rsid w:val="001648DB"/>
    <w:rsid w:val="001660AA"/>
    <w:rsid w:val="001662A4"/>
    <w:rsid w:val="00166594"/>
    <w:rsid w:val="00166B51"/>
    <w:rsid w:val="00171D2F"/>
    <w:rsid w:val="0017335B"/>
    <w:rsid w:val="0017399A"/>
    <w:rsid w:val="00173EAC"/>
    <w:rsid w:val="001740C8"/>
    <w:rsid w:val="001742B6"/>
    <w:rsid w:val="00174AE7"/>
    <w:rsid w:val="001752DF"/>
    <w:rsid w:val="00176099"/>
    <w:rsid w:val="001766AE"/>
    <w:rsid w:val="001772C1"/>
    <w:rsid w:val="00177770"/>
    <w:rsid w:val="00180C61"/>
    <w:rsid w:val="00180EEB"/>
    <w:rsid w:val="00182796"/>
    <w:rsid w:val="00190CA4"/>
    <w:rsid w:val="00190EC0"/>
    <w:rsid w:val="0019277A"/>
    <w:rsid w:val="00192E1E"/>
    <w:rsid w:val="00193DCD"/>
    <w:rsid w:val="00195816"/>
    <w:rsid w:val="001A0208"/>
    <w:rsid w:val="001A2087"/>
    <w:rsid w:val="001A2466"/>
    <w:rsid w:val="001A3AD1"/>
    <w:rsid w:val="001A407D"/>
    <w:rsid w:val="001A4927"/>
    <w:rsid w:val="001A6F44"/>
    <w:rsid w:val="001A6FE6"/>
    <w:rsid w:val="001A783E"/>
    <w:rsid w:val="001A7BFF"/>
    <w:rsid w:val="001B0371"/>
    <w:rsid w:val="001B0A41"/>
    <w:rsid w:val="001B19B4"/>
    <w:rsid w:val="001B1CC8"/>
    <w:rsid w:val="001B3BF4"/>
    <w:rsid w:val="001B4679"/>
    <w:rsid w:val="001B4B44"/>
    <w:rsid w:val="001B5062"/>
    <w:rsid w:val="001B6755"/>
    <w:rsid w:val="001B7C72"/>
    <w:rsid w:val="001C0047"/>
    <w:rsid w:val="001C1490"/>
    <w:rsid w:val="001C413B"/>
    <w:rsid w:val="001C419A"/>
    <w:rsid w:val="001C4478"/>
    <w:rsid w:val="001C5EEC"/>
    <w:rsid w:val="001C60A4"/>
    <w:rsid w:val="001C6B9C"/>
    <w:rsid w:val="001D0C3C"/>
    <w:rsid w:val="001D1577"/>
    <w:rsid w:val="001D1ED3"/>
    <w:rsid w:val="001D249F"/>
    <w:rsid w:val="001D3471"/>
    <w:rsid w:val="001D3DCD"/>
    <w:rsid w:val="001D3F86"/>
    <w:rsid w:val="001D44BB"/>
    <w:rsid w:val="001D6D8B"/>
    <w:rsid w:val="001D73AB"/>
    <w:rsid w:val="001D777A"/>
    <w:rsid w:val="001E0E6B"/>
    <w:rsid w:val="001E1896"/>
    <w:rsid w:val="001E2D6F"/>
    <w:rsid w:val="001E3753"/>
    <w:rsid w:val="001E5C8E"/>
    <w:rsid w:val="001E6D5E"/>
    <w:rsid w:val="001F0358"/>
    <w:rsid w:val="001F0A5D"/>
    <w:rsid w:val="001F16D6"/>
    <w:rsid w:val="001F2365"/>
    <w:rsid w:val="001F2E8F"/>
    <w:rsid w:val="001F4048"/>
    <w:rsid w:val="001F4234"/>
    <w:rsid w:val="001F5787"/>
    <w:rsid w:val="001F6D47"/>
    <w:rsid w:val="001F6E23"/>
    <w:rsid w:val="00200A5E"/>
    <w:rsid w:val="00201B56"/>
    <w:rsid w:val="00202C7A"/>
    <w:rsid w:val="00205A0C"/>
    <w:rsid w:val="0021015F"/>
    <w:rsid w:val="002107AF"/>
    <w:rsid w:val="00210952"/>
    <w:rsid w:val="00210E6F"/>
    <w:rsid w:val="00211460"/>
    <w:rsid w:val="00212924"/>
    <w:rsid w:val="00212A9C"/>
    <w:rsid w:val="00213F4D"/>
    <w:rsid w:val="00214941"/>
    <w:rsid w:val="0021771F"/>
    <w:rsid w:val="00220386"/>
    <w:rsid w:val="00220495"/>
    <w:rsid w:val="0022087D"/>
    <w:rsid w:val="00226B87"/>
    <w:rsid w:val="00227781"/>
    <w:rsid w:val="00230347"/>
    <w:rsid w:val="00231B18"/>
    <w:rsid w:val="00231D6B"/>
    <w:rsid w:val="00233E26"/>
    <w:rsid w:val="002350A7"/>
    <w:rsid w:val="002370FA"/>
    <w:rsid w:val="002373BF"/>
    <w:rsid w:val="002403D3"/>
    <w:rsid w:val="00242FCA"/>
    <w:rsid w:val="002430E0"/>
    <w:rsid w:val="00243D4B"/>
    <w:rsid w:val="002443B0"/>
    <w:rsid w:val="00245C73"/>
    <w:rsid w:val="00246517"/>
    <w:rsid w:val="002509EE"/>
    <w:rsid w:val="00251FCA"/>
    <w:rsid w:val="0025223B"/>
    <w:rsid w:val="00252513"/>
    <w:rsid w:val="0025284B"/>
    <w:rsid w:val="00252851"/>
    <w:rsid w:val="00252F2A"/>
    <w:rsid w:val="0025363C"/>
    <w:rsid w:val="002536D7"/>
    <w:rsid w:val="00253C6F"/>
    <w:rsid w:val="00253E68"/>
    <w:rsid w:val="00254944"/>
    <w:rsid w:val="00254EB5"/>
    <w:rsid w:val="00255EB9"/>
    <w:rsid w:val="00257FE3"/>
    <w:rsid w:val="002601ED"/>
    <w:rsid w:val="0026128C"/>
    <w:rsid w:val="002616CF"/>
    <w:rsid w:val="00261CBC"/>
    <w:rsid w:val="002631BC"/>
    <w:rsid w:val="00263F52"/>
    <w:rsid w:val="0026478F"/>
    <w:rsid w:val="00265D4F"/>
    <w:rsid w:val="00266B2F"/>
    <w:rsid w:val="00266FD9"/>
    <w:rsid w:val="002701E4"/>
    <w:rsid w:val="00270C52"/>
    <w:rsid w:val="00274F15"/>
    <w:rsid w:val="002776DE"/>
    <w:rsid w:val="00277801"/>
    <w:rsid w:val="00277A96"/>
    <w:rsid w:val="00277DC4"/>
    <w:rsid w:val="00280660"/>
    <w:rsid w:val="002807E9"/>
    <w:rsid w:val="00281BA1"/>
    <w:rsid w:val="0028254B"/>
    <w:rsid w:val="00284283"/>
    <w:rsid w:val="00286814"/>
    <w:rsid w:val="00286999"/>
    <w:rsid w:val="00287751"/>
    <w:rsid w:val="0028787F"/>
    <w:rsid w:val="002878BA"/>
    <w:rsid w:val="00290432"/>
    <w:rsid w:val="0029118E"/>
    <w:rsid w:val="00291EBF"/>
    <w:rsid w:val="002954BD"/>
    <w:rsid w:val="002962D0"/>
    <w:rsid w:val="002974BB"/>
    <w:rsid w:val="002A07C3"/>
    <w:rsid w:val="002A0D6F"/>
    <w:rsid w:val="002A1A22"/>
    <w:rsid w:val="002A1B83"/>
    <w:rsid w:val="002A2120"/>
    <w:rsid w:val="002A26C5"/>
    <w:rsid w:val="002A375E"/>
    <w:rsid w:val="002A3BEC"/>
    <w:rsid w:val="002A69BA"/>
    <w:rsid w:val="002A6A41"/>
    <w:rsid w:val="002A6F1B"/>
    <w:rsid w:val="002B06B5"/>
    <w:rsid w:val="002B2570"/>
    <w:rsid w:val="002B3287"/>
    <w:rsid w:val="002B6262"/>
    <w:rsid w:val="002B6D7B"/>
    <w:rsid w:val="002C01B0"/>
    <w:rsid w:val="002C09C0"/>
    <w:rsid w:val="002C177F"/>
    <w:rsid w:val="002C2BBC"/>
    <w:rsid w:val="002C32DF"/>
    <w:rsid w:val="002C3383"/>
    <w:rsid w:val="002C4AB1"/>
    <w:rsid w:val="002C5683"/>
    <w:rsid w:val="002C6194"/>
    <w:rsid w:val="002C6FF7"/>
    <w:rsid w:val="002C7666"/>
    <w:rsid w:val="002C7986"/>
    <w:rsid w:val="002C7A89"/>
    <w:rsid w:val="002D0576"/>
    <w:rsid w:val="002D05B2"/>
    <w:rsid w:val="002D0ADC"/>
    <w:rsid w:val="002D14B7"/>
    <w:rsid w:val="002D2036"/>
    <w:rsid w:val="002D2942"/>
    <w:rsid w:val="002D3B80"/>
    <w:rsid w:val="002D3EB4"/>
    <w:rsid w:val="002D4EF7"/>
    <w:rsid w:val="002D5938"/>
    <w:rsid w:val="002D639F"/>
    <w:rsid w:val="002D7019"/>
    <w:rsid w:val="002E0C96"/>
    <w:rsid w:val="002E21EB"/>
    <w:rsid w:val="002E2257"/>
    <w:rsid w:val="002E30B7"/>
    <w:rsid w:val="002E3ACC"/>
    <w:rsid w:val="002E51CF"/>
    <w:rsid w:val="002E6933"/>
    <w:rsid w:val="002E7A68"/>
    <w:rsid w:val="002F0D51"/>
    <w:rsid w:val="002F11DD"/>
    <w:rsid w:val="002F172C"/>
    <w:rsid w:val="002F19B0"/>
    <w:rsid w:val="002F25F7"/>
    <w:rsid w:val="002F624F"/>
    <w:rsid w:val="002F6321"/>
    <w:rsid w:val="002F753F"/>
    <w:rsid w:val="002F7882"/>
    <w:rsid w:val="0030311E"/>
    <w:rsid w:val="003042FE"/>
    <w:rsid w:val="00304449"/>
    <w:rsid w:val="00304C65"/>
    <w:rsid w:val="00306326"/>
    <w:rsid w:val="00310331"/>
    <w:rsid w:val="00311356"/>
    <w:rsid w:val="0031204B"/>
    <w:rsid w:val="00312F8D"/>
    <w:rsid w:val="00316D7E"/>
    <w:rsid w:val="00316EA5"/>
    <w:rsid w:val="00320ED3"/>
    <w:rsid w:val="00321637"/>
    <w:rsid w:val="00322B00"/>
    <w:rsid w:val="00323691"/>
    <w:rsid w:val="00324F18"/>
    <w:rsid w:val="00325D70"/>
    <w:rsid w:val="00326957"/>
    <w:rsid w:val="003273A9"/>
    <w:rsid w:val="00327E59"/>
    <w:rsid w:val="0033025E"/>
    <w:rsid w:val="00330B05"/>
    <w:rsid w:val="00330CD0"/>
    <w:rsid w:val="00331DAC"/>
    <w:rsid w:val="00332AFE"/>
    <w:rsid w:val="00334267"/>
    <w:rsid w:val="00334D59"/>
    <w:rsid w:val="003350D5"/>
    <w:rsid w:val="00335DD5"/>
    <w:rsid w:val="00340583"/>
    <w:rsid w:val="0034064A"/>
    <w:rsid w:val="00342A3C"/>
    <w:rsid w:val="003436BE"/>
    <w:rsid w:val="00345F1B"/>
    <w:rsid w:val="00345FA9"/>
    <w:rsid w:val="0034612F"/>
    <w:rsid w:val="0034642D"/>
    <w:rsid w:val="00350688"/>
    <w:rsid w:val="00351E3D"/>
    <w:rsid w:val="00353A54"/>
    <w:rsid w:val="003544A7"/>
    <w:rsid w:val="003548F4"/>
    <w:rsid w:val="00355E5A"/>
    <w:rsid w:val="00356741"/>
    <w:rsid w:val="00361712"/>
    <w:rsid w:val="003621E3"/>
    <w:rsid w:val="00364628"/>
    <w:rsid w:val="00364A02"/>
    <w:rsid w:val="003651F9"/>
    <w:rsid w:val="00366296"/>
    <w:rsid w:val="003666F1"/>
    <w:rsid w:val="00367124"/>
    <w:rsid w:val="00371816"/>
    <w:rsid w:val="00372089"/>
    <w:rsid w:val="00373DF8"/>
    <w:rsid w:val="00377F79"/>
    <w:rsid w:val="00380D5E"/>
    <w:rsid w:val="00381A39"/>
    <w:rsid w:val="003822EA"/>
    <w:rsid w:val="0038398F"/>
    <w:rsid w:val="00384D4C"/>
    <w:rsid w:val="00385404"/>
    <w:rsid w:val="00390F0C"/>
    <w:rsid w:val="00391A2D"/>
    <w:rsid w:val="00391F54"/>
    <w:rsid w:val="00392481"/>
    <w:rsid w:val="003927FD"/>
    <w:rsid w:val="003931E9"/>
    <w:rsid w:val="00393D5B"/>
    <w:rsid w:val="00394057"/>
    <w:rsid w:val="00396C8A"/>
    <w:rsid w:val="00396DED"/>
    <w:rsid w:val="00397CB8"/>
    <w:rsid w:val="003A0142"/>
    <w:rsid w:val="003A0265"/>
    <w:rsid w:val="003A07B9"/>
    <w:rsid w:val="003A0BC1"/>
    <w:rsid w:val="003A0C76"/>
    <w:rsid w:val="003A2BEF"/>
    <w:rsid w:val="003A3469"/>
    <w:rsid w:val="003A4503"/>
    <w:rsid w:val="003A491D"/>
    <w:rsid w:val="003A4DA5"/>
    <w:rsid w:val="003A5C24"/>
    <w:rsid w:val="003A6728"/>
    <w:rsid w:val="003A6EBF"/>
    <w:rsid w:val="003B04E5"/>
    <w:rsid w:val="003B114A"/>
    <w:rsid w:val="003B238E"/>
    <w:rsid w:val="003B2572"/>
    <w:rsid w:val="003B5843"/>
    <w:rsid w:val="003B5A34"/>
    <w:rsid w:val="003B5B64"/>
    <w:rsid w:val="003B6E58"/>
    <w:rsid w:val="003B716B"/>
    <w:rsid w:val="003B761F"/>
    <w:rsid w:val="003B78F6"/>
    <w:rsid w:val="003B7CBB"/>
    <w:rsid w:val="003C4615"/>
    <w:rsid w:val="003C67CE"/>
    <w:rsid w:val="003C772B"/>
    <w:rsid w:val="003D035F"/>
    <w:rsid w:val="003D0532"/>
    <w:rsid w:val="003D0786"/>
    <w:rsid w:val="003D24D7"/>
    <w:rsid w:val="003D355A"/>
    <w:rsid w:val="003D45EB"/>
    <w:rsid w:val="003D48FA"/>
    <w:rsid w:val="003D5A84"/>
    <w:rsid w:val="003D6082"/>
    <w:rsid w:val="003D6FBF"/>
    <w:rsid w:val="003D7EFF"/>
    <w:rsid w:val="003E0B9F"/>
    <w:rsid w:val="003E20D6"/>
    <w:rsid w:val="003E3938"/>
    <w:rsid w:val="003E408A"/>
    <w:rsid w:val="003E4F24"/>
    <w:rsid w:val="003E51D4"/>
    <w:rsid w:val="003E64AD"/>
    <w:rsid w:val="003E6787"/>
    <w:rsid w:val="003E6A3C"/>
    <w:rsid w:val="003E7CAC"/>
    <w:rsid w:val="003F1571"/>
    <w:rsid w:val="003F1C8F"/>
    <w:rsid w:val="003F5F3E"/>
    <w:rsid w:val="003F665C"/>
    <w:rsid w:val="003F6C1C"/>
    <w:rsid w:val="003F6DB4"/>
    <w:rsid w:val="004024EA"/>
    <w:rsid w:val="004032E9"/>
    <w:rsid w:val="00403374"/>
    <w:rsid w:val="00404BBB"/>
    <w:rsid w:val="00404F45"/>
    <w:rsid w:val="00405DE3"/>
    <w:rsid w:val="004069F6"/>
    <w:rsid w:val="00406FD2"/>
    <w:rsid w:val="00406FEA"/>
    <w:rsid w:val="00410136"/>
    <w:rsid w:val="00410341"/>
    <w:rsid w:val="00410762"/>
    <w:rsid w:val="00412C6A"/>
    <w:rsid w:val="004149C8"/>
    <w:rsid w:val="00414CD3"/>
    <w:rsid w:val="00415013"/>
    <w:rsid w:val="00415150"/>
    <w:rsid w:val="004159F4"/>
    <w:rsid w:val="004165BE"/>
    <w:rsid w:val="00416BC4"/>
    <w:rsid w:val="00422D18"/>
    <w:rsid w:val="00423432"/>
    <w:rsid w:val="00424357"/>
    <w:rsid w:val="00424DE3"/>
    <w:rsid w:val="0042580B"/>
    <w:rsid w:val="00425A8C"/>
    <w:rsid w:val="004265E7"/>
    <w:rsid w:val="004267EC"/>
    <w:rsid w:val="0042691F"/>
    <w:rsid w:val="00426AC7"/>
    <w:rsid w:val="004275B6"/>
    <w:rsid w:val="004277B0"/>
    <w:rsid w:val="00427F67"/>
    <w:rsid w:val="004305BB"/>
    <w:rsid w:val="00430B70"/>
    <w:rsid w:val="004311A3"/>
    <w:rsid w:val="00431EAB"/>
    <w:rsid w:val="00432764"/>
    <w:rsid w:val="004327DF"/>
    <w:rsid w:val="0043423D"/>
    <w:rsid w:val="00436060"/>
    <w:rsid w:val="00436323"/>
    <w:rsid w:val="00436BB5"/>
    <w:rsid w:val="004379EC"/>
    <w:rsid w:val="00437D07"/>
    <w:rsid w:val="00440614"/>
    <w:rsid w:val="00440EED"/>
    <w:rsid w:val="00440F3C"/>
    <w:rsid w:val="00443CBC"/>
    <w:rsid w:val="00445E9B"/>
    <w:rsid w:val="00446199"/>
    <w:rsid w:val="0044669D"/>
    <w:rsid w:val="00446CD0"/>
    <w:rsid w:val="00447A4E"/>
    <w:rsid w:val="00451CA8"/>
    <w:rsid w:val="00452D9E"/>
    <w:rsid w:val="0045613F"/>
    <w:rsid w:val="00457AE4"/>
    <w:rsid w:val="00460EC9"/>
    <w:rsid w:val="00461532"/>
    <w:rsid w:val="00462411"/>
    <w:rsid w:val="0046458F"/>
    <w:rsid w:val="00464A49"/>
    <w:rsid w:val="004651D1"/>
    <w:rsid w:val="0046655B"/>
    <w:rsid w:val="00467096"/>
    <w:rsid w:val="004701EA"/>
    <w:rsid w:val="0047106A"/>
    <w:rsid w:val="004738A8"/>
    <w:rsid w:val="00474CDB"/>
    <w:rsid w:val="00474DD1"/>
    <w:rsid w:val="00475B30"/>
    <w:rsid w:val="0047680A"/>
    <w:rsid w:val="0047736E"/>
    <w:rsid w:val="004810CB"/>
    <w:rsid w:val="00481488"/>
    <w:rsid w:val="00482592"/>
    <w:rsid w:val="004825D3"/>
    <w:rsid w:val="00483AF3"/>
    <w:rsid w:val="00484617"/>
    <w:rsid w:val="00485277"/>
    <w:rsid w:val="004857E5"/>
    <w:rsid w:val="00490F84"/>
    <w:rsid w:val="00492DFF"/>
    <w:rsid w:val="0049381C"/>
    <w:rsid w:val="00493D25"/>
    <w:rsid w:val="004952FE"/>
    <w:rsid w:val="004955CE"/>
    <w:rsid w:val="00497366"/>
    <w:rsid w:val="004973EC"/>
    <w:rsid w:val="004A02D7"/>
    <w:rsid w:val="004A3A58"/>
    <w:rsid w:val="004A5ACD"/>
    <w:rsid w:val="004A603A"/>
    <w:rsid w:val="004A720D"/>
    <w:rsid w:val="004B0CDF"/>
    <w:rsid w:val="004B1C1D"/>
    <w:rsid w:val="004B203C"/>
    <w:rsid w:val="004B2B9B"/>
    <w:rsid w:val="004B3B57"/>
    <w:rsid w:val="004B4ED8"/>
    <w:rsid w:val="004C01C2"/>
    <w:rsid w:val="004C3139"/>
    <w:rsid w:val="004C340E"/>
    <w:rsid w:val="004C4EE2"/>
    <w:rsid w:val="004C66CB"/>
    <w:rsid w:val="004C6B07"/>
    <w:rsid w:val="004C793B"/>
    <w:rsid w:val="004D0DB7"/>
    <w:rsid w:val="004D0E0B"/>
    <w:rsid w:val="004D14AE"/>
    <w:rsid w:val="004D1C58"/>
    <w:rsid w:val="004D415C"/>
    <w:rsid w:val="004D4E2E"/>
    <w:rsid w:val="004D59EF"/>
    <w:rsid w:val="004D758D"/>
    <w:rsid w:val="004D7B35"/>
    <w:rsid w:val="004E0107"/>
    <w:rsid w:val="004E0118"/>
    <w:rsid w:val="004E0992"/>
    <w:rsid w:val="004E0AF6"/>
    <w:rsid w:val="004E1178"/>
    <w:rsid w:val="004E1BD3"/>
    <w:rsid w:val="004E20FA"/>
    <w:rsid w:val="004E4493"/>
    <w:rsid w:val="004E4603"/>
    <w:rsid w:val="004E6FA6"/>
    <w:rsid w:val="004E76B4"/>
    <w:rsid w:val="004E7DC6"/>
    <w:rsid w:val="004F0307"/>
    <w:rsid w:val="004F13D8"/>
    <w:rsid w:val="004F2673"/>
    <w:rsid w:val="004F375E"/>
    <w:rsid w:val="004F5827"/>
    <w:rsid w:val="004F5F04"/>
    <w:rsid w:val="004F61ED"/>
    <w:rsid w:val="004F628C"/>
    <w:rsid w:val="004F6E04"/>
    <w:rsid w:val="004F6F6B"/>
    <w:rsid w:val="004F7B70"/>
    <w:rsid w:val="004F7D66"/>
    <w:rsid w:val="0050087A"/>
    <w:rsid w:val="00501343"/>
    <w:rsid w:val="00501619"/>
    <w:rsid w:val="00501B4B"/>
    <w:rsid w:val="00502C37"/>
    <w:rsid w:val="00503264"/>
    <w:rsid w:val="00503CDC"/>
    <w:rsid w:val="00503DB0"/>
    <w:rsid w:val="005044AE"/>
    <w:rsid w:val="00504B3B"/>
    <w:rsid w:val="0050543B"/>
    <w:rsid w:val="0050750A"/>
    <w:rsid w:val="00510038"/>
    <w:rsid w:val="00512118"/>
    <w:rsid w:val="00512487"/>
    <w:rsid w:val="005138FF"/>
    <w:rsid w:val="00515B17"/>
    <w:rsid w:val="00520976"/>
    <w:rsid w:val="005222B7"/>
    <w:rsid w:val="00522572"/>
    <w:rsid w:val="0052355E"/>
    <w:rsid w:val="0052446E"/>
    <w:rsid w:val="005275BE"/>
    <w:rsid w:val="00531090"/>
    <w:rsid w:val="00532BC8"/>
    <w:rsid w:val="0053444E"/>
    <w:rsid w:val="00534F89"/>
    <w:rsid w:val="00535174"/>
    <w:rsid w:val="00535A1D"/>
    <w:rsid w:val="00535D78"/>
    <w:rsid w:val="00536522"/>
    <w:rsid w:val="00536AAF"/>
    <w:rsid w:val="00536E12"/>
    <w:rsid w:val="00540683"/>
    <w:rsid w:val="00540719"/>
    <w:rsid w:val="00540DD9"/>
    <w:rsid w:val="00541567"/>
    <w:rsid w:val="005415CA"/>
    <w:rsid w:val="005417A4"/>
    <w:rsid w:val="00541C64"/>
    <w:rsid w:val="005428DB"/>
    <w:rsid w:val="00542CFE"/>
    <w:rsid w:val="005433F1"/>
    <w:rsid w:val="00545F05"/>
    <w:rsid w:val="00546287"/>
    <w:rsid w:val="00546410"/>
    <w:rsid w:val="005467D0"/>
    <w:rsid w:val="0054700F"/>
    <w:rsid w:val="00550CDA"/>
    <w:rsid w:val="00551062"/>
    <w:rsid w:val="00551AE7"/>
    <w:rsid w:val="00551C07"/>
    <w:rsid w:val="00551F4B"/>
    <w:rsid w:val="005535F7"/>
    <w:rsid w:val="00553903"/>
    <w:rsid w:val="005539A5"/>
    <w:rsid w:val="00553F8B"/>
    <w:rsid w:val="00554F21"/>
    <w:rsid w:val="00555CF4"/>
    <w:rsid w:val="005563D2"/>
    <w:rsid w:val="00557432"/>
    <w:rsid w:val="00560A40"/>
    <w:rsid w:val="00560E9B"/>
    <w:rsid w:val="00560FBA"/>
    <w:rsid w:val="00561528"/>
    <w:rsid w:val="005627D1"/>
    <w:rsid w:val="0056287B"/>
    <w:rsid w:val="00562F49"/>
    <w:rsid w:val="00564B1B"/>
    <w:rsid w:val="00566441"/>
    <w:rsid w:val="005665B8"/>
    <w:rsid w:val="00566BAA"/>
    <w:rsid w:val="0056792B"/>
    <w:rsid w:val="00567E68"/>
    <w:rsid w:val="005704A3"/>
    <w:rsid w:val="005712EF"/>
    <w:rsid w:val="00572128"/>
    <w:rsid w:val="0057238F"/>
    <w:rsid w:val="00573A91"/>
    <w:rsid w:val="005741B8"/>
    <w:rsid w:val="00575025"/>
    <w:rsid w:val="00575992"/>
    <w:rsid w:val="005773A7"/>
    <w:rsid w:val="00577918"/>
    <w:rsid w:val="00577D9A"/>
    <w:rsid w:val="00581990"/>
    <w:rsid w:val="0058228A"/>
    <w:rsid w:val="00582D74"/>
    <w:rsid w:val="005831F1"/>
    <w:rsid w:val="00586373"/>
    <w:rsid w:val="005863D8"/>
    <w:rsid w:val="00586624"/>
    <w:rsid w:val="00586BBF"/>
    <w:rsid w:val="00586F19"/>
    <w:rsid w:val="00587AAC"/>
    <w:rsid w:val="005905B4"/>
    <w:rsid w:val="005906FE"/>
    <w:rsid w:val="00590A07"/>
    <w:rsid w:val="005921C9"/>
    <w:rsid w:val="00593DFF"/>
    <w:rsid w:val="0059573F"/>
    <w:rsid w:val="00595B6F"/>
    <w:rsid w:val="00595C97"/>
    <w:rsid w:val="005960BE"/>
    <w:rsid w:val="00597C06"/>
    <w:rsid w:val="00597C7F"/>
    <w:rsid w:val="005A0870"/>
    <w:rsid w:val="005A0FE6"/>
    <w:rsid w:val="005A126F"/>
    <w:rsid w:val="005A127B"/>
    <w:rsid w:val="005A213E"/>
    <w:rsid w:val="005A2D69"/>
    <w:rsid w:val="005A35C1"/>
    <w:rsid w:val="005A46D5"/>
    <w:rsid w:val="005A5407"/>
    <w:rsid w:val="005A6581"/>
    <w:rsid w:val="005A6E47"/>
    <w:rsid w:val="005A74C8"/>
    <w:rsid w:val="005B1130"/>
    <w:rsid w:val="005B116D"/>
    <w:rsid w:val="005B13C3"/>
    <w:rsid w:val="005B1FFB"/>
    <w:rsid w:val="005B31C7"/>
    <w:rsid w:val="005B39FA"/>
    <w:rsid w:val="005B5152"/>
    <w:rsid w:val="005B6A7E"/>
    <w:rsid w:val="005B70E1"/>
    <w:rsid w:val="005B7644"/>
    <w:rsid w:val="005C0338"/>
    <w:rsid w:val="005C0613"/>
    <w:rsid w:val="005C1AF5"/>
    <w:rsid w:val="005C1BC8"/>
    <w:rsid w:val="005C2121"/>
    <w:rsid w:val="005C31DF"/>
    <w:rsid w:val="005C3F52"/>
    <w:rsid w:val="005C5703"/>
    <w:rsid w:val="005C5E5F"/>
    <w:rsid w:val="005C7721"/>
    <w:rsid w:val="005C77B4"/>
    <w:rsid w:val="005D059B"/>
    <w:rsid w:val="005D290A"/>
    <w:rsid w:val="005D3395"/>
    <w:rsid w:val="005E1937"/>
    <w:rsid w:val="005E1A0E"/>
    <w:rsid w:val="005E4832"/>
    <w:rsid w:val="005E5886"/>
    <w:rsid w:val="005E61B4"/>
    <w:rsid w:val="005E6727"/>
    <w:rsid w:val="005E72F3"/>
    <w:rsid w:val="005E7D18"/>
    <w:rsid w:val="005F0313"/>
    <w:rsid w:val="005F05FF"/>
    <w:rsid w:val="005F1CEA"/>
    <w:rsid w:val="005F3855"/>
    <w:rsid w:val="005F4606"/>
    <w:rsid w:val="005F590C"/>
    <w:rsid w:val="005F5DBE"/>
    <w:rsid w:val="005F6D09"/>
    <w:rsid w:val="005F71CD"/>
    <w:rsid w:val="005F79B9"/>
    <w:rsid w:val="005F7DCE"/>
    <w:rsid w:val="006014EC"/>
    <w:rsid w:val="00602D3F"/>
    <w:rsid w:val="00603009"/>
    <w:rsid w:val="00603D3F"/>
    <w:rsid w:val="00605C2C"/>
    <w:rsid w:val="00606071"/>
    <w:rsid w:val="00606501"/>
    <w:rsid w:val="00607050"/>
    <w:rsid w:val="006107BB"/>
    <w:rsid w:val="00610D18"/>
    <w:rsid w:val="00613025"/>
    <w:rsid w:val="00614C77"/>
    <w:rsid w:val="00615CD4"/>
    <w:rsid w:val="00616ADA"/>
    <w:rsid w:val="006202F3"/>
    <w:rsid w:val="0062048B"/>
    <w:rsid w:val="00620D6E"/>
    <w:rsid w:val="00622516"/>
    <w:rsid w:val="006226B7"/>
    <w:rsid w:val="00623A6C"/>
    <w:rsid w:val="0062425E"/>
    <w:rsid w:val="00624BA7"/>
    <w:rsid w:val="006272C0"/>
    <w:rsid w:val="00627781"/>
    <w:rsid w:val="00627860"/>
    <w:rsid w:val="00630339"/>
    <w:rsid w:val="006307A0"/>
    <w:rsid w:val="00631954"/>
    <w:rsid w:val="006325CF"/>
    <w:rsid w:val="006334C4"/>
    <w:rsid w:val="006346A4"/>
    <w:rsid w:val="00636A42"/>
    <w:rsid w:val="00636AD3"/>
    <w:rsid w:val="00640485"/>
    <w:rsid w:val="006410AE"/>
    <w:rsid w:val="00641217"/>
    <w:rsid w:val="00641A5D"/>
    <w:rsid w:val="00643123"/>
    <w:rsid w:val="006433EA"/>
    <w:rsid w:val="00643A3D"/>
    <w:rsid w:val="00643BB3"/>
    <w:rsid w:val="00645930"/>
    <w:rsid w:val="006469CC"/>
    <w:rsid w:val="006473C9"/>
    <w:rsid w:val="00647E00"/>
    <w:rsid w:val="006504FC"/>
    <w:rsid w:val="0065216F"/>
    <w:rsid w:val="00653075"/>
    <w:rsid w:val="0065415C"/>
    <w:rsid w:val="00654246"/>
    <w:rsid w:val="006547B7"/>
    <w:rsid w:val="006555BE"/>
    <w:rsid w:val="00656069"/>
    <w:rsid w:val="006572F5"/>
    <w:rsid w:val="00657F5D"/>
    <w:rsid w:val="0066275D"/>
    <w:rsid w:val="00663C2A"/>
    <w:rsid w:val="00663F1B"/>
    <w:rsid w:val="00664652"/>
    <w:rsid w:val="00664FF7"/>
    <w:rsid w:val="00666A08"/>
    <w:rsid w:val="00666A20"/>
    <w:rsid w:val="00666A52"/>
    <w:rsid w:val="0066756E"/>
    <w:rsid w:val="00667599"/>
    <w:rsid w:val="00667F55"/>
    <w:rsid w:val="006706D9"/>
    <w:rsid w:val="00672318"/>
    <w:rsid w:val="00672614"/>
    <w:rsid w:val="0067344B"/>
    <w:rsid w:val="00673A41"/>
    <w:rsid w:val="0067439D"/>
    <w:rsid w:val="006748A8"/>
    <w:rsid w:val="00674F8B"/>
    <w:rsid w:val="00676DB2"/>
    <w:rsid w:val="00677D72"/>
    <w:rsid w:val="0068026A"/>
    <w:rsid w:val="00680473"/>
    <w:rsid w:val="00683CFE"/>
    <w:rsid w:val="00683F41"/>
    <w:rsid w:val="0068415D"/>
    <w:rsid w:val="006872FC"/>
    <w:rsid w:val="0069118B"/>
    <w:rsid w:val="0069183D"/>
    <w:rsid w:val="00693DCB"/>
    <w:rsid w:val="00694275"/>
    <w:rsid w:val="00696992"/>
    <w:rsid w:val="00697322"/>
    <w:rsid w:val="006A00D6"/>
    <w:rsid w:val="006A1512"/>
    <w:rsid w:val="006A192B"/>
    <w:rsid w:val="006A1E77"/>
    <w:rsid w:val="006A1F0D"/>
    <w:rsid w:val="006A22DF"/>
    <w:rsid w:val="006A2B9F"/>
    <w:rsid w:val="006A3BDB"/>
    <w:rsid w:val="006A64E8"/>
    <w:rsid w:val="006A74EF"/>
    <w:rsid w:val="006B0022"/>
    <w:rsid w:val="006B0704"/>
    <w:rsid w:val="006B08A8"/>
    <w:rsid w:val="006B13BF"/>
    <w:rsid w:val="006B1DDC"/>
    <w:rsid w:val="006B2784"/>
    <w:rsid w:val="006B3834"/>
    <w:rsid w:val="006B4813"/>
    <w:rsid w:val="006B5023"/>
    <w:rsid w:val="006B52B9"/>
    <w:rsid w:val="006C03E6"/>
    <w:rsid w:val="006C1498"/>
    <w:rsid w:val="006C2B26"/>
    <w:rsid w:val="006C34B3"/>
    <w:rsid w:val="006C3D65"/>
    <w:rsid w:val="006C40D0"/>
    <w:rsid w:val="006C4135"/>
    <w:rsid w:val="006C48C8"/>
    <w:rsid w:val="006C4BB1"/>
    <w:rsid w:val="006C4E51"/>
    <w:rsid w:val="006C6308"/>
    <w:rsid w:val="006D1073"/>
    <w:rsid w:val="006D142A"/>
    <w:rsid w:val="006D1AAD"/>
    <w:rsid w:val="006D2C68"/>
    <w:rsid w:val="006D2C75"/>
    <w:rsid w:val="006D39B8"/>
    <w:rsid w:val="006D3C4B"/>
    <w:rsid w:val="006D3EFB"/>
    <w:rsid w:val="006D545C"/>
    <w:rsid w:val="006D64A6"/>
    <w:rsid w:val="006D6979"/>
    <w:rsid w:val="006D6F40"/>
    <w:rsid w:val="006D7254"/>
    <w:rsid w:val="006D75A8"/>
    <w:rsid w:val="006D7795"/>
    <w:rsid w:val="006E073D"/>
    <w:rsid w:val="006E0FC0"/>
    <w:rsid w:val="006E1CD1"/>
    <w:rsid w:val="006E296D"/>
    <w:rsid w:val="006E2ABA"/>
    <w:rsid w:val="006E3B45"/>
    <w:rsid w:val="006E50B7"/>
    <w:rsid w:val="006E531B"/>
    <w:rsid w:val="006E615A"/>
    <w:rsid w:val="006E67F8"/>
    <w:rsid w:val="006E6DDE"/>
    <w:rsid w:val="006F0E36"/>
    <w:rsid w:val="006F1C88"/>
    <w:rsid w:val="006F1EB7"/>
    <w:rsid w:val="006F3C42"/>
    <w:rsid w:val="006F7B87"/>
    <w:rsid w:val="00701658"/>
    <w:rsid w:val="00702981"/>
    <w:rsid w:val="00704053"/>
    <w:rsid w:val="00705DF6"/>
    <w:rsid w:val="00706CD9"/>
    <w:rsid w:val="00710299"/>
    <w:rsid w:val="0071132D"/>
    <w:rsid w:val="00711830"/>
    <w:rsid w:val="007118D3"/>
    <w:rsid w:val="00712AE0"/>
    <w:rsid w:val="0071383D"/>
    <w:rsid w:val="00714A2F"/>
    <w:rsid w:val="00715397"/>
    <w:rsid w:val="00715D7F"/>
    <w:rsid w:val="007162E7"/>
    <w:rsid w:val="007166B1"/>
    <w:rsid w:val="0072045C"/>
    <w:rsid w:val="00720799"/>
    <w:rsid w:val="00720E2F"/>
    <w:rsid w:val="0072164E"/>
    <w:rsid w:val="007219C7"/>
    <w:rsid w:val="007228A4"/>
    <w:rsid w:val="00723468"/>
    <w:rsid w:val="007248B1"/>
    <w:rsid w:val="00725967"/>
    <w:rsid w:val="00725ABE"/>
    <w:rsid w:val="00727D0D"/>
    <w:rsid w:val="007318F1"/>
    <w:rsid w:val="00732119"/>
    <w:rsid w:val="007361F9"/>
    <w:rsid w:val="00736CFF"/>
    <w:rsid w:val="007374CF"/>
    <w:rsid w:val="007427C6"/>
    <w:rsid w:val="007430B5"/>
    <w:rsid w:val="00744859"/>
    <w:rsid w:val="007463E9"/>
    <w:rsid w:val="00747016"/>
    <w:rsid w:val="0074766D"/>
    <w:rsid w:val="00747FCD"/>
    <w:rsid w:val="00750E79"/>
    <w:rsid w:val="007519ED"/>
    <w:rsid w:val="00753408"/>
    <w:rsid w:val="00754030"/>
    <w:rsid w:val="00757298"/>
    <w:rsid w:val="00760865"/>
    <w:rsid w:val="007608F2"/>
    <w:rsid w:val="007617C7"/>
    <w:rsid w:val="00763947"/>
    <w:rsid w:val="00764D71"/>
    <w:rsid w:val="00767862"/>
    <w:rsid w:val="00770237"/>
    <w:rsid w:val="00770380"/>
    <w:rsid w:val="007703D2"/>
    <w:rsid w:val="00771260"/>
    <w:rsid w:val="00771D20"/>
    <w:rsid w:val="0077346C"/>
    <w:rsid w:val="0077719C"/>
    <w:rsid w:val="00777644"/>
    <w:rsid w:val="007809A7"/>
    <w:rsid w:val="00781A42"/>
    <w:rsid w:val="007869D5"/>
    <w:rsid w:val="00786D71"/>
    <w:rsid w:val="00787591"/>
    <w:rsid w:val="00792311"/>
    <w:rsid w:val="007943E3"/>
    <w:rsid w:val="00794AED"/>
    <w:rsid w:val="00795D76"/>
    <w:rsid w:val="007962F1"/>
    <w:rsid w:val="007A1A06"/>
    <w:rsid w:val="007A22CC"/>
    <w:rsid w:val="007A3AF2"/>
    <w:rsid w:val="007A5B53"/>
    <w:rsid w:val="007A5C93"/>
    <w:rsid w:val="007A6480"/>
    <w:rsid w:val="007A6B37"/>
    <w:rsid w:val="007A6DA7"/>
    <w:rsid w:val="007A7651"/>
    <w:rsid w:val="007A7782"/>
    <w:rsid w:val="007B225E"/>
    <w:rsid w:val="007B4321"/>
    <w:rsid w:val="007B5C4B"/>
    <w:rsid w:val="007B6288"/>
    <w:rsid w:val="007B79AC"/>
    <w:rsid w:val="007C05C1"/>
    <w:rsid w:val="007C09B8"/>
    <w:rsid w:val="007C0AC9"/>
    <w:rsid w:val="007C31C9"/>
    <w:rsid w:val="007C3513"/>
    <w:rsid w:val="007C4027"/>
    <w:rsid w:val="007C5066"/>
    <w:rsid w:val="007C5DB2"/>
    <w:rsid w:val="007C61D8"/>
    <w:rsid w:val="007C6350"/>
    <w:rsid w:val="007C67EE"/>
    <w:rsid w:val="007C761E"/>
    <w:rsid w:val="007C774D"/>
    <w:rsid w:val="007D040E"/>
    <w:rsid w:val="007D38A7"/>
    <w:rsid w:val="007D410A"/>
    <w:rsid w:val="007D527E"/>
    <w:rsid w:val="007D59C2"/>
    <w:rsid w:val="007D7B3B"/>
    <w:rsid w:val="007E0920"/>
    <w:rsid w:val="007E0B3B"/>
    <w:rsid w:val="007E1151"/>
    <w:rsid w:val="007E224C"/>
    <w:rsid w:val="007E24DE"/>
    <w:rsid w:val="007E3A6F"/>
    <w:rsid w:val="007E42FD"/>
    <w:rsid w:val="007E4EF1"/>
    <w:rsid w:val="007E5211"/>
    <w:rsid w:val="007E5F1B"/>
    <w:rsid w:val="007E693B"/>
    <w:rsid w:val="007E70F5"/>
    <w:rsid w:val="007E7C35"/>
    <w:rsid w:val="007E7D36"/>
    <w:rsid w:val="007F305A"/>
    <w:rsid w:val="007F4322"/>
    <w:rsid w:val="007F70A5"/>
    <w:rsid w:val="007F74CD"/>
    <w:rsid w:val="007F7ADF"/>
    <w:rsid w:val="00800BBF"/>
    <w:rsid w:val="00801FCD"/>
    <w:rsid w:val="008024B1"/>
    <w:rsid w:val="00804C62"/>
    <w:rsid w:val="00806F62"/>
    <w:rsid w:val="00807339"/>
    <w:rsid w:val="00807612"/>
    <w:rsid w:val="008118DA"/>
    <w:rsid w:val="00811B9C"/>
    <w:rsid w:val="008120FC"/>
    <w:rsid w:val="00812230"/>
    <w:rsid w:val="008148B6"/>
    <w:rsid w:val="00815F0C"/>
    <w:rsid w:val="00817810"/>
    <w:rsid w:val="00817DD2"/>
    <w:rsid w:val="008201BC"/>
    <w:rsid w:val="00820F30"/>
    <w:rsid w:val="00821299"/>
    <w:rsid w:val="008213E9"/>
    <w:rsid w:val="00822B02"/>
    <w:rsid w:val="008264AF"/>
    <w:rsid w:val="0082683D"/>
    <w:rsid w:val="00832385"/>
    <w:rsid w:val="00832CCE"/>
    <w:rsid w:val="00832D10"/>
    <w:rsid w:val="00833788"/>
    <w:rsid w:val="00834014"/>
    <w:rsid w:val="00835852"/>
    <w:rsid w:val="00835BFD"/>
    <w:rsid w:val="0083608A"/>
    <w:rsid w:val="008377DE"/>
    <w:rsid w:val="00837DB4"/>
    <w:rsid w:val="008409D7"/>
    <w:rsid w:val="008416BD"/>
    <w:rsid w:val="00841E27"/>
    <w:rsid w:val="0084253D"/>
    <w:rsid w:val="00844117"/>
    <w:rsid w:val="00845D6D"/>
    <w:rsid w:val="00845DA3"/>
    <w:rsid w:val="00850039"/>
    <w:rsid w:val="00850B93"/>
    <w:rsid w:val="008525A9"/>
    <w:rsid w:val="008529B3"/>
    <w:rsid w:val="00855687"/>
    <w:rsid w:val="00855FEF"/>
    <w:rsid w:val="00860C6D"/>
    <w:rsid w:val="00861432"/>
    <w:rsid w:val="008615E4"/>
    <w:rsid w:val="00862C8D"/>
    <w:rsid w:val="00862D40"/>
    <w:rsid w:val="00863129"/>
    <w:rsid w:val="00863245"/>
    <w:rsid w:val="00863CED"/>
    <w:rsid w:val="008645C7"/>
    <w:rsid w:val="0087232D"/>
    <w:rsid w:val="00873050"/>
    <w:rsid w:val="0087344A"/>
    <w:rsid w:val="00873D28"/>
    <w:rsid w:val="00874024"/>
    <w:rsid w:val="00874DCF"/>
    <w:rsid w:val="00877966"/>
    <w:rsid w:val="0088188E"/>
    <w:rsid w:val="00882522"/>
    <w:rsid w:val="00886723"/>
    <w:rsid w:val="008869E0"/>
    <w:rsid w:val="00887984"/>
    <w:rsid w:val="00887AB1"/>
    <w:rsid w:val="00887F53"/>
    <w:rsid w:val="0089065F"/>
    <w:rsid w:val="00890AE5"/>
    <w:rsid w:val="00890C9C"/>
    <w:rsid w:val="0089214C"/>
    <w:rsid w:val="0089399A"/>
    <w:rsid w:val="008947C1"/>
    <w:rsid w:val="0089645C"/>
    <w:rsid w:val="00896465"/>
    <w:rsid w:val="008A00B8"/>
    <w:rsid w:val="008A16FC"/>
    <w:rsid w:val="008A22CF"/>
    <w:rsid w:val="008A5522"/>
    <w:rsid w:val="008A7CE5"/>
    <w:rsid w:val="008A7E2E"/>
    <w:rsid w:val="008B069B"/>
    <w:rsid w:val="008B24D5"/>
    <w:rsid w:val="008B256C"/>
    <w:rsid w:val="008B3A8B"/>
    <w:rsid w:val="008B4D91"/>
    <w:rsid w:val="008B5123"/>
    <w:rsid w:val="008B7451"/>
    <w:rsid w:val="008B7A4C"/>
    <w:rsid w:val="008C201A"/>
    <w:rsid w:val="008C2830"/>
    <w:rsid w:val="008C2DB2"/>
    <w:rsid w:val="008C4217"/>
    <w:rsid w:val="008C49AC"/>
    <w:rsid w:val="008C54E1"/>
    <w:rsid w:val="008D0765"/>
    <w:rsid w:val="008D1405"/>
    <w:rsid w:val="008D3A5F"/>
    <w:rsid w:val="008D47F1"/>
    <w:rsid w:val="008D5085"/>
    <w:rsid w:val="008D5FD9"/>
    <w:rsid w:val="008D6794"/>
    <w:rsid w:val="008D6BCF"/>
    <w:rsid w:val="008D777F"/>
    <w:rsid w:val="008E2814"/>
    <w:rsid w:val="008E2A7F"/>
    <w:rsid w:val="008E5CBE"/>
    <w:rsid w:val="008E7AAF"/>
    <w:rsid w:val="008E7C40"/>
    <w:rsid w:val="008F2A66"/>
    <w:rsid w:val="008F4166"/>
    <w:rsid w:val="008F47B3"/>
    <w:rsid w:val="008F491B"/>
    <w:rsid w:val="008F4AA5"/>
    <w:rsid w:val="008F4B5B"/>
    <w:rsid w:val="008F4C89"/>
    <w:rsid w:val="008F5BED"/>
    <w:rsid w:val="008F6703"/>
    <w:rsid w:val="008F68E9"/>
    <w:rsid w:val="008F6F73"/>
    <w:rsid w:val="00901988"/>
    <w:rsid w:val="00901BC7"/>
    <w:rsid w:val="00901F8B"/>
    <w:rsid w:val="009029DB"/>
    <w:rsid w:val="00903320"/>
    <w:rsid w:val="009037FE"/>
    <w:rsid w:val="00906000"/>
    <w:rsid w:val="009062C6"/>
    <w:rsid w:val="009067E8"/>
    <w:rsid w:val="009109F5"/>
    <w:rsid w:val="0091242E"/>
    <w:rsid w:val="009129B9"/>
    <w:rsid w:val="009132A2"/>
    <w:rsid w:val="009136E7"/>
    <w:rsid w:val="00916289"/>
    <w:rsid w:val="00916967"/>
    <w:rsid w:val="00921172"/>
    <w:rsid w:val="00921287"/>
    <w:rsid w:val="00923B14"/>
    <w:rsid w:val="0092431C"/>
    <w:rsid w:val="00925326"/>
    <w:rsid w:val="0092790D"/>
    <w:rsid w:val="00927DDC"/>
    <w:rsid w:val="00931514"/>
    <w:rsid w:val="0093244C"/>
    <w:rsid w:val="00932DF5"/>
    <w:rsid w:val="00936BED"/>
    <w:rsid w:val="00936C3E"/>
    <w:rsid w:val="00936F3C"/>
    <w:rsid w:val="0094026D"/>
    <w:rsid w:val="009403EF"/>
    <w:rsid w:val="009409DF"/>
    <w:rsid w:val="0094150B"/>
    <w:rsid w:val="00946E8A"/>
    <w:rsid w:val="009471F8"/>
    <w:rsid w:val="0095093E"/>
    <w:rsid w:val="00950D72"/>
    <w:rsid w:val="00951356"/>
    <w:rsid w:val="00951D31"/>
    <w:rsid w:val="0095238B"/>
    <w:rsid w:val="0095293D"/>
    <w:rsid w:val="00952E49"/>
    <w:rsid w:val="0095454D"/>
    <w:rsid w:val="00956210"/>
    <w:rsid w:val="00957233"/>
    <w:rsid w:val="00960BC6"/>
    <w:rsid w:val="0096309E"/>
    <w:rsid w:val="009647D8"/>
    <w:rsid w:val="00964F81"/>
    <w:rsid w:val="00965C9A"/>
    <w:rsid w:val="009662AD"/>
    <w:rsid w:val="00967ED6"/>
    <w:rsid w:val="00971438"/>
    <w:rsid w:val="00971A88"/>
    <w:rsid w:val="00971B9B"/>
    <w:rsid w:val="00975048"/>
    <w:rsid w:val="00976753"/>
    <w:rsid w:val="00977240"/>
    <w:rsid w:val="0097747C"/>
    <w:rsid w:val="00980F85"/>
    <w:rsid w:val="0098426A"/>
    <w:rsid w:val="00985CC3"/>
    <w:rsid w:val="009863E5"/>
    <w:rsid w:val="0098650D"/>
    <w:rsid w:val="009868DE"/>
    <w:rsid w:val="0098726B"/>
    <w:rsid w:val="0099199C"/>
    <w:rsid w:val="009928B9"/>
    <w:rsid w:val="009963B6"/>
    <w:rsid w:val="009963CC"/>
    <w:rsid w:val="00997084"/>
    <w:rsid w:val="00997404"/>
    <w:rsid w:val="00997BF4"/>
    <w:rsid w:val="009A1540"/>
    <w:rsid w:val="009A1762"/>
    <w:rsid w:val="009A1887"/>
    <w:rsid w:val="009A18CD"/>
    <w:rsid w:val="009A2DF2"/>
    <w:rsid w:val="009A3D0D"/>
    <w:rsid w:val="009A3E78"/>
    <w:rsid w:val="009A512B"/>
    <w:rsid w:val="009A762F"/>
    <w:rsid w:val="009A7F8D"/>
    <w:rsid w:val="009B0555"/>
    <w:rsid w:val="009B3E47"/>
    <w:rsid w:val="009B4147"/>
    <w:rsid w:val="009B513E"/>
    <w:rsid w:val="009C4348"/>
    <w:rsid w:val="009C4793"/>
    <w:rsid w:val="009C5AEF"/>
    <w:rsid w:val="009C5C19"/>
    <w:rsid w:val="009D0546"/>
    <w:rsid w:val="009D1692"/>
    <w:rsid w:val="009D2201"/>
    <w:rsid w:val="009D27C6"/>
    <w:rsid w:val="009D3AD6"/>
    <w:rsid w:val="009D5751"/>
    <w:rsid w:val="009D5E97"/>
    <w:rsid w:val="009D66D9"/>
    <w:rsid w:val="009D702E"/>
    <w:rsid w:val="009D7E07"/>
    <w:rsid w:val="009D7EA4"/>
    <w:rsid w:val="009E1F6D"/>
    <w:rsid w:val="009E37E6"/>
    <w:rsid w:val="009E387A"/>
    <w:rsid w:val="009E4A1E"/>
    <w:rsid w:val="009E63FD"/>
    <w:rsid w:val="009E67B5"/>
    <w:rsid w:val="009E6F1D"/>
    <w:rsid w:val="009F0DDE"/>
    <w:rsid w:val="009F29A5"/>
    <w:rsid w:val="009F3D99"/>
    <w:rsid w:val="009F4922"/>
    <w:rsid w:val="009F4E4D"/>
    <w:rsid w:val="009F5B10"/>
    <w:rsid w:val="009F7B3D"/>
    <w:rsid w:val="009F7E24"/>
    <w:rsid w:val="00A058E4"/>
    <w:rsid w:val="00A05A52"/>
    <w:rsid w:val="00A07A4B"/>
    <w:rsid w:val="00A07DCC"/>
    <w:rsid w:val="00A108A6"/>
    <w:rsid w:val="00A10AA3"/>
    <w:rsid w:val="00A12EC3"/>
    <w:rsid w:val="00A132E2"/>
    <w:rsid w:val="00A13DFF"/>
    <w:rsid w:val="00A15DA3"/>
    <w:rsid w:val="00A15FD1"/>
    <w:rsid w:val="00A20468"/>
    <w:rsid w:val="00A21E39"/>
    <w:rsid w:val="00A22752"/>
    <w:rsid w:val="00A23617"/>
    <w:rsid w:val="00A23E5A"/>
    <w:rsid w:val="00A2594A"/>
    <w:rsid w:val="00A272DC"/>
    <w:rsid w:val="00A27904"/>
    <w:rsid w:val="00A30AB6"/>
    <w:rsid w:val="00A30D8C"/>
    <w:rsid w:val="00A33665"/>
    <w:rsid w:val="00A352A7"/>
    <w:rsid w:val="00A352E7"/>
    <w:rsid w:val="00A35454"/>
    <w:rsid w:val="00A36AC3"/>
    <w:rsid w:val="00A37C91"/>
    <w:rsid w:val="00A4294E"/>
    <w:rsid w:val="00A42E06"/>
    <w:rsid w:val="00A45299"/>
    <w:rsid w:val="00A45AAB"/>
    <w:rsid w:val="00A46480"/>
    <w:rsid w:val="00A51AE3"/>
    <w:rsid w:val="00A521C7"/>
    <w:rsid w:val="00A5260B"/>
    <w:rsid w:val="00A53511"/>
    <w:rsid w:val="00A53601"/>
    <w:rsid w:val="00A54095"/>
    <w:rsid w:val="00A54D4B"/>
    <w:rsid w:val="00A555AB"/>
    <w:rsid w:val="00A573C3"/>
    <w:rsid w:val="00A573E3"/>
    <w:rsid w:val="00A63A8A"/>
    <w:rsid w:val="00A63D55"/>
    <w:rsid w:val="00A64697"/>
    <w:rsid w:val="00A64838"/>
    <w:rsid w:val="00A650EA"/>
    <w:rsid w:val="00A6546D"/>
    <w:rsid w:val="00A66253"/>
    <w:rsid w:val="00A7207A"/>
    <w:rsid w:val="00A72820"/>
    <w:rsid w:val="00A72E4E"/>
    <w:rsid w:val="00A73E07"/>
    <w:rsid w:val="00A741DD"/>
    <w:rsid w:val="00A76866"/>
    <w:rsid w:val="00A76DF5"/>
    <w:rsid w:val="00A770DF"/>
    <w:rsid w:val="00A7797F"/>
    <w:rsid w:val="00A81A6E"/>
    <w:rsid w:val="00A8260D"/>
    <w:rsid w:val="00A8275A"/>
    <w:rsid w:val="00A84240"/>
    <w:rsid w:val="00A84C49"/>
    <w:rsid w:val="00A86015"/>
    <w:rsid w:val="00A867EF"/>
    <w:rsid w:val="00A86CE2"/>
    <w:rsid w:val="00A86D61"/>
    <w:rsid w:val="00A9070B"/>
    <w:rsid w:val="00A91AF6"/>
    <w:rsid w:val="00A930B3"/>
    <w:rsid w:val="00A93300"/>
    <w:rsid w:val="00A94566"/>
    <w:rsid w:val="00A94633"/>
    <w:rsid w:val="00A94813"/>
    <w:rsid w:val="00A94ECE"/>
    <w:rsid w:val="00A97124"/>
    <w:rsid w:val="00A97F80"/>
    <w:rsid w:val="00AA0C97"/>
    <w:rsid w:val="00AA21B0"/>
    <w:rsid w:val="00AA2FA8"/>
    <w:rsid w:val="00AA4338"/>
    <w:rsid w:val="00AA437D"/>
    <w:rsid w:val="00AA4833"/>
    <w:rsid w:val="00AA5327"/>
    <w:rsid w:val="00AA532E"/>
    <w:rsid w:val="00AA612A"/>
    <w:rsid w:val="00AA64C3"/>
    <w:rsid w:val="00AB1552"/>
    <w:rsid w:val="00AB2E02"/>
    <w:rsid w:val="00AB4145"/>
    <w:rsid w:val="00AB48B7"/>
    <w:rsid w:val="00AB49CA"/>
    <w:rsid w:val="00AB7531"/>
    <w:rsid w:val="00AB767F"/>
    <w:rsid w:val="00AC0AEC"/>
    <w:rsid w:val="00AC2603"/>
    <w:rsid w:val="00AC4825"/>
    <w:rsid w:val="00AC576E"/>
    <w:rsid w:val="00AC58E2"/>
    <w:rsid w:val="00AC58F6"/>
    <w:rsid w:val="00AC5C72"/>
    <w:rsid w:val="00AC62D6"/>
    <w:rsid w:val="00AC62DA"/>
    <w:rsid w:val="00AC6362"/>
    <w:rsid w:val="00AC69CA"/>
    <w:rsid w:val="00AD07E5"/>
    <w:rsid w:val="00AD29AC"/>
    <w:rsid w:val="00AD500D"/>
    <w:rsid w:val="00AD5C81"/>
    <w:rsid w:val="00AD66E3"/>
    <w:rsid w:val="00AD6CF8"/>
    <w:rsid w:val="00AD6F41"/>
    <w:rsid w:val="00AD747A"/>
    <w:rsid w:val="00AD7AF9"/>
    <w:rsid w:val="00AE05A8"/>
    <w:rsid w:val="00AE09B5"/>
    <w:rsid w:val="00AE0BD6"/>
    <w:rsid w:val="00AE24ED"/>
    <w:rsid w:val="00AE4635"/>
    <w:rsid w:val="00AE4683"/>
    <w:rsid w:val="00AE5122"/>
    <w:rsid w:val="00AE700F"/>
    <w:rsid w:val="00AE7B95"/>
    <w:rsid w:val="00AF000E"/>
    <w:rsid w:val="00AF248C"/>
    <w:rsid w:val="00AF4C09"/>
    <w:rsid w:val="00AF5A8D"/>
    <w:rsid w:val="00AF5B69"/>
    <w:rsid w:val="00AF67A0"/>
    <w:rsid w:val="00AF693D"/>
    <w:rsid w:val="00AF6C3C"/>
    <w:rsid w:val="00AF73AE"/>
    <w:rsid w:val="00B00817"/>
    <w:rsid w:val="00B01906"/>
    <w:rsid w:val="00B02658"/>
    <w:rsid w:val="00B02DD4"/>
    <w:rsid w:val="00B03114"/>
    <w:rsid w:val="00B034E1"/>
    <w:rsid w:val="00B03878"/>
    <w:rsid w:val="00B04AAF"/>
    <w:rsid w:val="00B04D5C"/>
    <w:rsid w:val="00B05C41"/>
    <w:rsid w:val="00B05D0E"/>
    <w:rsid w:val="00B06203"/>
    <w:rsid w:val="00B11322"/>
    <w:rsid w:val="00B122E7"/>
    <w:rsid w:val="00B12C2F"/>
    <w:rsid w:val="00B14358"/>
    <w:rsid w:val="00B15065"/>
    <w:rsid w:val="00B1517B"/>
    <w:rsid w:val="00B15FA2"/>
    <w:rsid w:val="00B170AA"/>
    <w:rsid w:val="00B1795F"/>
    <w:rsid w:val="00B22096"/>
    <w:rsid w:val="00B23C64"/>
    <w:rsid w:val="00B2484B"/>
    <w:rsid w:val="00B24B88"/>
    <w:rsid w:val="00B24F99"/>
    <w:rsid w:val="00B272E8"/>
    <w:rsid w:val="00B27F7F"/>
    <w:rsid w:val="00B304AA"/>
    <w:rsid w:val="00B30717"/>
    <w:rsid w:val="00B31926"/>
    <w:rsid w:val="00B33B83"/>
    <w:rsid w:val="00B34C44"/>
    <w:rsid w:val="00B34C99"/>
    <w:rsid w:val="00B35A76"/>
    <w:rsid w:val="00B35BD1"/>
    <w:rsid w:val="00B371C0"/>
    <w:rsid w:val="00B3793B"/>
    <w:rsid w:val="00B43124"/>
    <w:rsid w:val="00B44313"/>
    <w:rsid w:val="00B4483D"/>
    <w:rsid w:val="00B45F21"/>
    <w:rsid w:val="00B51FE9"/>
    <w:rsid w:val="00B52A5C"/>
    <w:rsid w:val="00B54F9B"/>
    <w:rsid w:val="00B55459"/>
    <w:rsid w:val="00B55E6D"/>
    <w:rsid w:val="00B561F5"/>
    <w:rsid w:val="00B60926"/>
    <w:rsid w:val="00B61266"/>
    <w:rsid w:val="00B64ACD"/>
    <w:rsid w:val="00B64E8A"/>
    <w:rsid w:val="00B6553D"/>
    <w:rsid w:val="00B65A8F"/>
    <w:rsid w:val="00B660B1"/>
    <w:rsid w:val="00B70017"/>
    <w:rsid w:val="00B70B5F"/>
    <w:rsid w:val="00B727B4"/>
    <w:rsid w:val="00B737AA"/>
    <w:rsid w:val="00B73C81"/>
    <w:rsid w:val="00B73F5C"/>
    <w:rsid w:val="00B74A85"/>
    <w:rsid w:val="00B75BA6"/>
    <w:rsid w:val="00B766A1"/>
    <w:rsid w:val="00B80F52"/>
    <w:rsid w:val="00B81912"/>
    <w:rsid w:val="00B8228E"/>
    <w:rsid w:val="00B82F1E"/>
    <w:rsid w:val="00B82F55"/>
    <w:rsid w:val="00B83520"/>
    <w:rsid w:val="00B83703"/>
    <w:rsid w:val="00B8425B"/>
    <w:rsid w:val="00B8502A"/>
    <w:rsid w:val="00B85459"/>
    <w:rsid w:val="00B85C35"/>
    <w:rsid w:val="00B867E4"/>
    <w:rsid w:val="00B877DA"/>
    <w:rsid w:val="00B9160D"/>
    <w:rsid w:val="00B948B7"/>
    <w:rsid w:val="00B954B5"/>
    <w:rsid w:val="00B97D05"/>
    <w:rsid w:val="00B97D99"/>
    <w:rsid w:val="00BA01C7"/>
    <w:rsid w:val="00BA1CEB"/>
    <w:rsid w:val="00BA252C"/>
    <w:rsid w:val="00BA38F4"/>
    <w:rsid w:val="00BA52AA"/>
    <w:rsid w:val="00BA58CE"/>
    <w:rsid w:val="00BA60FC"/>
    <w:rsid w:val="00BA66F9"/>
    <w:rsid w:val="00BA6A2F"/>
    <w:rsid w:val="00BA6A49"/>
    <w:rsid w:val="00BA7425"/>
    <w:rsid w:val="00BA7BB7"/>
    <w:rsid w:val="00BB1792"/>
    <w:rsid w:val="00BB1D41"/>
    <w:rsid w:val="00BB23F7"/>
    <w:rsid w:val="00BB6E8A"/>
    <w:rsid w:val="00BB6EA1"/>
    <w:rsid w:val="00BB7EB4"/>
    <w:rsid w:val="00BC0D36"/>
    <w:rsid w:val="00BC233E"/>
    <w:rsid w:val="00BC2349"/>
    <w:rsid w:val="00BC2D59"/>
    <w:rsid w:val="00BC3873"/>
    <w:rsid w:val="00BC3CA4"/>
    <w:rsid w:val="00BD1CE7"/>
    <w:rsid w:val="00BD1E4E"/>
    <w:rsid w:val="00BD2D83"/>
    <w:rsid w:val="00BD3FEE"/>
    <w:rsid w:val="00BD498B"/>
    <w:rsid w:val="00BD6E21"/>
    <w:rsid w:val="00BD76D1"/>
    <w:rsid w:val="00BE0DB5"/>
    <w:rsid w:val="00BE2B94"/>
    <w:rsid w:val="00BE2FDD"/>
    <w:rsid w:val="00BE387A"/>
    <w:rsid w:val="00BE4F2E"/>
    <w:rsid w:val="00BE5FDF"/>
    <w:rsid w:val="00BE65F1"/>
    <w:rsid w:val="00BE6C5F"/>
    <w:rsid w:val="00BF0765"/>
    <w:rsid w:val="00BF24B6"/>
    <w:rsid w:val="00BF3543"/>
    <w:rsid w:val="00BF3A1E"/>
    <w:rsid w:val="00BF3F09"/>
    <w:rsid w:val="00BF44B9"/>
    <w:rsid w:val="00BF6E07"/>
    <w:rsid w:val="00BF7ED2"/>
    <w:rsid w:val="00C04486"/>
    <w:rsid w:val="00C04898"/>
    <w:rsid w:val="00C04900"/>
    <w:rsid w:val="00C04DAF"/>
    <w:rsid w:val="00C04E94"/>
    <w:rsid w:val="00C06682"/>
    <w:rsid w:val="00C070C7"/>
    <w:rsid w:val="00C079E8"/>
    <w:rsid w:val="00C07EE5"/>
    <w:rsid w:val="00C11452"/>
    <w:rsid w:val="00C12AD5"/>
    <w:rsid w:val="00C12D1D"/>
    <w:rsid w:val="00C13F4B"/>
    <w:rsid w:val="00C15D97"/>
    <w:rsid w:val="00C1721A"/>
    <w:rsid w:val="00C208E7"/>
    <w:rsid w:val="00C2277D"/>
    <w:rsid w:val="00C22CA0"/>
    <w:rsid w:val="00C2328C"/>
    <w:rsid w:val="00C23607"/>
    <w:rsid w:val="00C23992"/>
    <w:rsid w:val="00C23A37"/>
    <w:rsid w:val="00C24028"/>
    <w:rsid w:val="00C245D8"/>
    <w:rsid w:val="00C24B01"/>
    <w:rsid w:val="00C24CDA"/>
    <w:rsid w:val="00C2571A"/>
    <w:rsid w:val="00C25851"/>
    <w:rsid w:val="00C27117"/>
    <w:rsid w:val="00C319C1"/>
    <w:rsid w:val="00C34609"/>
    <w:rsid w:val="00C3511C"/>
    <w:rsid w:val="00C37657"/>
    <w:rsid w:val="00C428DA"/>
    <w:rsid w:val="00C43649"/>
    <w:rsid w:val="00C478C7"/>
    <w:rsid w:val="00C515D3"/>
    <w:rsid w:val="00C52099"/>
    <w:rsid w:val="00C52343"/>
    <w:rsid w:val="00C52F93"/>
    <w:rsid w:val="00C53B02"/>
    <w:rsid w:val="00C557CA"/>
    <w:rsid w:val="00C55C82"/>
    <w:rsid w:val="00C57811"/>
    <w:rsid w:val="00C57DE2"/>
    <w:rsid w:val="00C57E39"/>
    <w:rsid w:val="00C6040A"/>
    <w:rsid w:val="00C630BC"/>
    <w:rsid w:val="00C63614"/>
    <w:rsid w:val="00C63CBC"/>
    <w:rsid w:val="00C64DA2"/>
    <w:rsid w:val="00C6721D"/>
    <w:rsid w:val="00C7245A"/>
    <w:rsid w:val="00C726A3"/>
    <w:rsid w:val="00C729EE"/>
    <w:rsid w:val="00C741C2"/>
    <w:rsid w:val="00C74433"/>
    <w:rsid w:val="00C750EC"/>
    <w:rsid w:val="00C759F0"/>
    <w:rsid w:val="00C80091"/>
    <w:rsid w:val="00C81E0D"/>
    <w:rsid w:val="00C863CE"/>
    <w:rsid w:val="00C876EC"/>
    <w:rsid w:val="00C87701"/>
    <w:rsid w:val="00C90123"/>
    <w:rsid w:val="00C90346"/>
    <w:rsid w:val="00C9163E"/>
    <w:rsid w:val="00C9349A"/>
    <w:rsid w:val="00C93D26"/>
    <w:rsid w:val="00C96D0C"/>
    <w:rsid w:val="00C97277"/>
    <w:rsid w:val="00C97E91"/>
    <w:rsid w:val="00CA133F"/>
    <w:rsid w:val="00CA1D0C"/>
    <w:rsid w:val="00CA44C2"/>
    <w:rsid w:val="00CA56CB"/>
    <w:rsid w:val="00CA6810"/>
    <w:rsid w:val="00CB1EFD"/>
    <w:rsid w:val="00CB3485"/>
    <w:rsid w:val="00CB3AA2"/>
    <w:rsid w:val="00CB492C"/>
    <w:rsid w:val="00CB5328"/>
    <w:rsid w:val="00CB75A9"/>
    <w:rsid w:val="00CB763B"/>
    <w:rsid w:val="00CC1199"/>
    <w:rsid w:val="00CC13AE"/>
    <w:rsid w:val="00CC1B66"/>
    <w:rsid w:val="00CC3EB8"/>
    <w:rsid w:val="00CC478B"/>
    <w:rsid w:val="00CC559E"/>
    <w:rsid w:val="00CC583D"/>
    <w:rsid w:val="00CC6C34"/>
    <w:rsid w:val="00CD2353"/>
    <w:rsid w:val="00CD2954"/>
    <w:rsid w:val="00CD4C44"/>
    <w:rsid w:val="00CD6977"/>
    <w:rsid w:val="00CD6D8D"/>
    <w:rsid w:val="00CE003F"/>
    <w:rsid w:val="00CE076D"/>
    <w:rsid w:val="00CE1CC7"/>
    <w:rsid w:val="00CE1CD1"/>
    <w:rsid w:val="00CE3C05"/>
    <w:rsid w:val="00CE460A"/>
    <w:rsid w:val="00CE71AB"/>
    <w:rsid w:val="00CE796D"/>
    <w:rsid w:val="00CF0605"/>
    <w:rsid w:val="00CF1215"/>
    <w:rsid w:val="00CF39FE"/>
    <w:rsid w:val="00CF5A4E"/>
    <w:rsid w:val="00CF6E91"/>
    <w:rsid w:val="00D03E3A"/>
    <w:rsid w:val="00D042AD"/>
    <w:rsid w:val="00D056C9"/>
    <w:rsid w:val="00D065A1"/>
    <w:rsid w:val="00D06AC2"/>
    <w:rsid w:val="00D06D7E"/>
    <w:rsid w:val="00D12E1B"/>
    <w:rsid w:val="00D14843"/>
    <w:rsid w:val="00D15076"/>
    <w:rsid w:val="00D15CDF"/>
    <w:rsid w:val="00D1761B"/>
    <w:rsid w:val="00D179EB"/>
    <w:rsid w:val="00D202D0"/>
    <w:rsid w:val="00D20C7F"/>
    <w:rsid w:val="00D20EB6"/>
    <w:rsid w:val="00D21530"/>
    <w:rsid w:val="00D2193A"/>
    <w:rsid w:val="00D21A49"/>
    <w:rsid w:val="00D21B30"/>
    <w:rsid w:val="00D220FC"/>
    <w:rsid w:val="00D24C61"/>
    <w:rsid w:val="00D2571C"/>
    <w:rsid w:val="00D25838"/>
    <w:rsid w:val="00D25D3E"/>
    <w:rsid w:val="00D2613B"/>
    <w:rsid w:val="00D261A3"/>
    <w:rsid w:val="00D26EDA"/>
    <w:rsid w:val="00D30AE0"/>
    <w:rsid w:val="00D31243"/>
    <w:rsid w:val="00D3166A"/>
    <w:rsid w:val="00D31A15"/>
    <w:rsid w:val="00D33F3F"/>
    <w:rsid w:val="00D34A8A"/>
    <w:rsid w:val="00D36232"/>
    <w:rsid w:val="00D40F75"/>
    <w:rsid w:val="00D4281E"/>
    <w:rsid w:val="00D43BEE"/>
    <w:rsid w:val="00D44D94"/>
    <w:rsid w:val="00D45090"/>
    <w:rsid w:val="00D45187"/>
    <w:rsid w:val="00D466A0"/>
    <w:rsid w:val="00D46DC3"/>
    <w:rsid w:val="00D47975"/>
    <w:rsid w:val="00D50315"/>
    <w:rsid w:val="00D50CCF"/>
    <w:rsid w:val="00D5169D"/>
    <w:rsid w:val="00D52C36"/>
    <w:rsid w:val="00D53938"/>
    <w:rsid w:val="00D53AAD"/>
    <w:rsid w:val="00D55088"/>
    <w:rsid w:val="00D557BA"/>
    <w:rsid w:val="00D578EF"/>
    <w:rsid w:val="00D61EE8"/>
    <w:rsid w:val="00D63237"/>
    <w:rsid w:val="00D63A5C"/>
    <w:rsid w:val="00D653BC"/>
    <w:rsid w:val="00D65630"/>
    <w:rsid w:val="00D661E6"/>
    <w:rsid w:val="00D7118E"/>
    <w:rsid w:val="00D71297"/>
    <w:rsid w:val="00D7138E"/>
    <w:rsid w:val="00D7315B"/>
    <w:rsid w:val="00D7564D"/>
    <w:rsid w:val="00D75B6A"/>
    <w:rsid w:val="00D77120"/>
    <w:rsid w:val="00D80457"/>
    <w:rsid w:val="00D81023"/>
    <w:rsid w:val="00D811AA"/>
    <w:rsid w:val="00D81607"/>
    <w:rsid w:val="00D8162D"/>
    <w:rsid w:val="00D818ED"/>
    <w:rsid w:val="00D836FE"/>
    <w:rsid w:val="00D84D46"/>
    <w:rsid w:val="00D853FA"/>
    <w:rsid w:val="00D85823"/>
    <w:rsid w:val="00D87EB4"/>
    <w:rsid w:val="00D90E1C"/>
    <w:rsid w:val="00D91BD1"/>
    <w:rsid w:val="00D93C7D"/>
    <w:rsid w:val="00DA087B"/>
    <w:rsid w:val="00DA2242"/>
    <w:rsid w:val="00DA22F0"/>
    <w:rsid w:val="00DA3983"/>
    <w:rsid w:val="00DA39E3"/>
    <w:rsid w:val="00DA3C46"/>
    <w:rsid w:val="00DA75BA"/>
    <w:rsid w:val="00DB0C14"/>
    <w:rsid w:val="00DB215C"/>
    <w:rsid w:val="00DB2B01"/>
    <w:rsid w:val="00DB2D3A"/>
    <w:rsid w:val="00DB3B5E"/>
    <w:rsid w:val="00DB4E0B"/>
    <w:rsid w:val="00DB66BB"/>
    <w:rsid w:val="00DB7015"/>
    <w:rsid w:val="00DB73EF"/>
    <w:rsid w:val="00DB752E"/>
    <w:rsid w:val="00DC14F9"/>
    <w:rsid w:val="00DC1F89"/>
    <w:rsid w:val="00DC200C"/>
    <w:rsid w:val="00DC2041"/>
    <w:rsid w:val="00DC253A"/>
    <w:rsid w:val="00DC27B7"/>
    <w:rsid w:val="00DC3606"/>
    <w:rsid w:val="00DC389E"/>
    <w:rsid w:val="00DC3BC7"/>
    <w:rsid w:val="00DC62DB"/>
    <w:rsid w:val="00DD00F7"/>
    <w:rsid w:val="00DD334F"/>
    <w:rsid w:val="00DD3815"/>
    <w:rsid w:val="00DD3CAF"/>
    <w:rsid w:val="00DD4123"/>
    <w:rsid w:val="00DD4EF3"/>
    <w:rsid w:val="00DD63BC"/>
    <w:rsid w:val="00DD734D"/>
    <w:rsid w:val="00DD7A86"/>
    <w:rsid w:val="00DE0603"/>
    <w:rsid w:val="00DE1C62"/>
    <w:rsid w:val="00DE468F"/>
    <w:rsid w:val="00DE5C0E"/>
    <w:rsid w:val="00DE65B7"/>
    <w:rsid w:val="00DE6F75"/>
    <w:rsid w:val="00DE7AE5"/>
    <w:rsid w:val="00DF0083"/>
    <w:rsid w:val="00DF0E5F"/>
    <w:rsid w:val="00DF1D1D"/>
    <w:rsid w:val="00DF37EB"/>
    <w:rsid w:val="00DF3BFA"/>
    <w:rsid w:val="00DF3E62"/>
    <w:rsid w:val="00DF50FA"/>
    <w:rsid w:val="00DF5F68"/>
    <w:rsid w:val="00E00F28"/>
    <w:rsid w:val="00E0389C"/>
    <w:rsid w:val="00E04B15"/>
    <w:rsid w:val="00E04C0A"/>
    <w:rsid w:val="00E065F7"/>
    <w:rsid w:val="00E10B1A"/>
    <w:rsid w:val="00E12086"/>
    <w:rsid w:val="00E12884"/>
    <w:rsid w:val="00E13B32"/>
    <w:rsid w:val="00E154AC"/>
    <w:rsid w:val="00E162AD"/>
    <w:rsid w:val="00E16F4B"/>
    <w:rsid w:val="00E17A72"/>
    <w:rsid w:val="00E20B73"/>
    <w:rsid w:val="00E21AEF"/>
    <w:rsid w:val="00E21FA5"/>
    <w:rsid w:val="00E22154"/>
    <w:rsid w:val="00E22E0F"/>
    <w:rsid w:val="00E24892"/>
    <w:rsid w:val="00E2691E"/>
    <w:rsid w:val="00E278DE"/>
    <w:rsid w:val="00E3061F"/>
    <w:rsid w:val="00E31422"/>
    <w:rsid w:val="00E33441"/>
    <w:rsid w:val="00E33E9F"/>
    <w:rsid w:val="00E346C6"/>
    <w:rsid w:val="00E34B03"/>
    <w:rsid w:val="00E35639"/>
    <w:rsid w:val="00E35704"/>
    <w:rsid w:val="00E35B6A"/>
    <w:rsid w:val="00E361CE"/>
    <w:rsid w:val="00E3635B"/>
    <w:rsid w:val="00E37573"/>
    <w:rsid w:val="00E376F0"/>
    <w:rsid w:val="00E402C8"/>
    <w:rsid w:val="00E412FA"/>
    <w:rsid w:val="00E44023"/>
    <w:rsid w:val="00E45610"/>
    <w:rsid w:val="00E45665"/>
    <w:rsid w:val="00E45A54"/>
    <w:rsid w:val="00E470C8"/>
    <w:rsid w:val="00E50180"/>
    <w:rsid w:val="00E504DD"/>
    <w:rsid w:val="00E510E6"/>
    <w:rsid w:val="00E52C95"/>
    <w:rsid w:val="00E55827"/>
    <w:rsid w:val="00E55E53"/>
    <w:rsid w:val="00E57739"/>
    <w:rsid w:val="00E57C7D"/>
    <w:rsid w:val="00E6268F"/>
    <w:rsid w:val="00E62D96"/>
    <w:rsid w:val="00E63270"/>
    <w:rsid w:val="00E6378A"/>
    <w:rsid w:val="00E667ED"/>
    <w:rsid w:val="00E67B37"/>
    <w:rsid w:val="00E7191D"/>
    <w:rsid w:val="00E7203E"/>
    <w:rsid w:val="00E7391F"/>
    <w:rsid w:val="00E74D8F"/>
    <w:rsid w:val="00E74E59"/>
    <w:rsid w:val="00E75347"/>
    <w:rsid w:val="00E75F7B"/>
    <w:rsid w:val="00E76086"/>
    <w:rsid w:val="00E772AE"/>
    <w:rsid w:val="00E81830"/>
    <w:rsid w:val="00E82395"/>
    <w:rsid w:val="00E82F71"/>
    <w:rsid w:val="00E83319"/>
    <w:rsid w:val="00E85154"/>
    <w:rsid w:val="00E859FE"/>
    <w:rsid w:val="00E87950"/>
    <w:rsid w:val="00E907EF"/>
    <w:rsid w:val="00E90A30"/>
    <w:rsid w:val="00E93290"/>
    <w:rsid w:val="00EA00C7"/>
    <w:rsid w:val="00EA0B5F"/>
    <w:rsid w:val="00EA17BF"/>
    <w:rsid w:val="00EA1DD0"/>
    <w:rsid w:val="00EA20C4"/>
    <w:rsid w:val="00EA6200"/>
    <w:rsid w:val="00EA7630"/>
    <w:rsid w:val="00EB03F2"/>
    <w:rsid w:val="00EB1098"/>
    <w:rsid w:val="00EB24C9"/>
    <w:rsid w:val="00EB27EC"/>
    <w:rsid w:val="00EB2AC6"/>
    <w:rsid w:val="00EB4328"/>
    <w:rsid w:val="00EB577C"/>
    <w:rsid w:val="00EC0772"/>
    <w:rsid w:val="00EC0D18"/>
    <w:rsid w:val="00EC146E"/>
    <w:rsid w:val="00EC15D1"/>
    <w:rsid w:val="00EC2153"/>
    <w:rsid w:val="00EC406E"/>
    <w:rsid w:val="00EC463A"/>
    <w:rsid w:val="00EC4CD6"/>
    <w:rsid w:val="00EC5675"/>
    <w:rsid w:val="00ED1589"/>
    <w:rsid w:val="00ED1A46"/>
    <w:rsid w:val="00ED1BF3"/>
    <w:rsid w:val="00ED1CE5"/>
    <w:rsid w:val="00ED1E12"/>
    <w:rsid w:val="00ED2E22"/>
    <w:rsid w:val="00ED2F15"/>
    <w:rsid w:val="00ED4359"/>
    <w:rsid w:val="00ED4989"/>
    <w:rsid w:val="00ED4E74"/>
    <w:rsid w:val="00ED5314"/>
    <w:rsid w:val="00ED6F07"/>
    <w:rsid w:val="00ED714D"/>
    <w:rsid w:val="00ED78BC"/>
    <w:rsid w:val="00EE1722"/>
    <w:rsid w:val="00EE19AC"/>
    <w:rsid w:val="00EE2645"/>
    <w:rsid w:val="00EE3A3A"/>
    <w:rsid w:val="00EE57A4"/>
    <w:rsid w:val="00EE5BE1"/>
    <w:rsid w:val="00EE61EC"/>
    <w:rsid w:val="00EE64ED"/>
    <w:rsid w:val="00EE744C"/>
    <w:rsid w:val="00EE7FAF"/>
    <w:rsid w:val="00EF060C"/>
    <w:rsid w:val="00EF258B"/>
    <w:rsid w:val="00EF4040"/>
    <w:rsid w:val="00F0009C"/>
    <w:rsid w:val="00F0035C"/>
    <w:rsid w:val="00F01187"/>
    <w:rsid w:val="00F020E5"/>
    <w:rsid w:val="00F0343C"/>
    <w:rsid w:val="00F034FE"/>
    <w:rsid w:val="00F0374D"/>
    <w:rsid w:val="00F03EB7"/>
    <w:rsid w:val="00F03F80"/>
    <w:rsid w:val="00F04BFC"/>
    <w:rsid w:val="00F04F57"/>
    <w:rsid w:val="00F0614A"/>
    <w:rsid w:val="00F06622"/>
    <w:rsid w:val="00F07A85"/>
    <w:rsid w:val="00F07DAC"/>
    <w:rsid w:val="00F10A60"/>
    <w:rsid w:val="00F1388C"/>
    <w:rsid w:val="00F13C36"/>
    <w:rsid w:val="00F14E98"/>
    <w:rsid w:val="00F203B2"/>
    <w:rsid w:val="00F219B7"/>
    <w:rsid w:val="00F21F96"/>
    <w:rsid w:val="00F2285F"/>
    <w:rsid w:val="00F24F5D"/>
    <w:rsid w:val="00F26AE7"/>
    <w:rsid w:val="00F27615"/>
    <w:rsid w:val="00F302F7"/>
    <w:rsid w:val="00F314A7"/>
    <w:rsid w:val="00F3289C"/>
    <w:rsid w:val="00F35544"/>
    <w:rsid w:val="00F35F32"/>
    <w:rsid w:val="00F40853"/>
    <w:rsid w:val="00F41CB5"/>
    <w:rsid w:val="00F4207C"/>
    <w:rsid w:val="00F42A5C"/>
    <w:rsid w:val="00F42B43"/>
    <w:rsid w:val="00F43399"/>
    <w:rsid w:val="00F43954"/>
    <w:rsid w:val="00F44515"/>
    <w:rsid w:val="00F44A79"/>
    <w:rsid w:val="00F45DAC"/>
    <w:rsid w:val="00F4799A"/>
    <w:rsid w:val="00F50B26"/>
    <w:rsid w:val="00F5202F"/>
    <w:rsid w:val="00F524F5"/>
    <w:rsid w:val="00F55166"/>
    <w:rsid w:val="00F56E95"/>
    <w:rsid w:val="00F60F6C"/>
    <w:rsid w:val="00F624AA"/>
    <w:rsid w:val="00F64AC0"/>
    <w:rsid w:val="00F64FD3"/>
    <w:rsid w:val="00F66A53"/>
    <w:rsid w:val="00F67F1D"/>
    <w:rsid w:val="00F704C7"/>
    <w:rsid w:val="00F71D92"/>
    <w:rsid w:val="00F74215"/>
    <w:rsid w:val="00F76B43"/>
    <w:rsid w:val="00F80101"/>
    <w:rsid w:val="00F8094C"/>
    <w:rsid w:val="00F81573"/>
    <w:rsid w:val="00F818F9"/>
    <w:rsid w:val="00F82285"/>
    <w:rsid w:val="00F83B0A"/>
    <w:rsid w:val="00F83E62"/>
    <w:rsid w:val="00F86640"/>
    <w:rsid w:val="00F9373A"/>
    <w:rsid w:val="00F93DB6"/>
    <w:rsid w:val="00F93DCB"/>
    <w:rsid w:val="00F94021"/>
    <w:rsid w:val="00F95A1C"/>
    <w:rsid w:val="00F95D3F"/>
    <w:rsid w:val="00F960DB"/>
    <w:rsid w:val="00F976DC"/>
    <w:rsid w:val="00F97D69"/>
    <w:rsid w:val="00F97F33"/>
    <w:rsid w:val="00FA06A6"/>
    <w:rsid w:val="00FA0729"/>
    <w:rsid w:val="00FA0E68"/>
    <w:rsid w:val="00FA1766"/>
    <w:rsid w:val="00FA200F"/>
    <w:rsid w:val="00FA22A0"/>
    <w:rsid w:val="00FA24EB"/>
    <w:rsid w:val="00FA2F83"/>
    <w:rsid w:val="00FA38C0"/>
    <w:rsid w:val="00FA4B73"/>
    <w:rsid w:val="00FA4B83"/>
    <w:rsid w:val="00FA4BA2"/>
    <w:rsid w:val="00FA50D4"/>
    <w:rsid w:val="00FA604A"/>
    <w:rsid w:val="00FA67C5"/>
    <w:rsid w:val="00FA67CC"/>
    <w:rsid w:val="00FA6963"/>
    <w:rsid w:val="00FA6BBE"/>
    <w:rsid w:val="00FA72B0"/>
    <w:rsid w:val="00FA761E"/>
    <w:rsid w:val="00FB0061"/>
    <w:rsid w:val="00FB1285"/>
    <w:rsid w:val="00FB1690"/>
    <w:rsid w:val="00FB16FC"/>
    <w:rsid w:val="00FB1A90"/>
    <w:rsid w:val="00FB2324"/>
    <w:rsid w:val="00FB25AF"/>
    <w:rsid w:val="00FB260C"/>
    <w:rsid w:val="00FB28A4"/>
    <w:rsid w:val="00FB2DFF"/>
    <w:rsid w:val="00FB6663"/>
    <w:rsid w:val="00FB6AE6"/>
    <w:rsid w:val="00FB712F"/>
    <w:rsid w:val="00FB798E"/>
    <w:rsid w:val="00FB7C46"/>
    <w:rsid w:val="00FC0199"/>
    <w:rsid w:val="00FC1872"/>
    <w:rsid w:val="00FC2305"/>
    <w:rsid w:val="00FC2372"/>
    <w:rsid w:val="00FC2DE8"/>
    <w:rsid w:val="00FC4732"/>
    <w:rsid w:val="00FC4E3E"/>
    <w:rsid w:val="00FC557A"/>
    <w:rsid w:val="00FC5DA4"/>
    <w:rsid w:val="00FC6904"/>
    <w:rsid w:val="00FC6B32"/>
    <w:rsid w:val="00FC7353"/>
    <w:rsid w:val="00FD0973"/>
    <w:rsid w:val="00FD1160"/>
    <w:rsid w:val="00FD1769"/>
    <w:rsid w:val="00FD3682"/>
    <w:rsid w:val="00FD44F1"/>
    <w:rsid w:val="00FD58D1"/>
    <w:rsid w:val="00FD6938"/>
    <w:rsid w:val="00FD7282"/>
    <w:rsid w:val="00FD7A22"/>
    <w:rsid w:val="00FD7FF7"/>
    <w:rsid w:val="00FE1F8B"/>
    <w:rsid w:val="00FE2AC7"/>
    <w:rsid w:val="00FE2D5F"/>
    <w:rsid w:val="00FE3A93"/>
    <w:rsid w:val="00FE529B"/>
    <w:rsid w:val="00FE60A0"/>
    <w:rsid w:val="00FE7108"/>
    <w:rsid w:val="00FF19E7"/>
    <w:rsid w:val="00FF201C"/>
    <w:rsid w:val="00FF2A9B"/>
    <w:rsid w:val="00FF60AC"/>
    <w:rsid w:val="00FF66C1"/>
    <w:rsid w:val="00FF7307"/>
    <w:rsid w:val="00FF77C7"/>
    <w:rsid w:val="00FF7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212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C9A"/>
    <w:pPr>
      <w:widowControl w:val="0"/>
    </w:pPr>
    <w:rPr>
      <w:rFonts w:ascii="Times New Roman" w:eastAsia="Times New Roman" w:hAnsi="Times New Roman"/>
      <w:sz w:val="24"/>
      <w:lang w:val="en-US" w:eastAsia="en-US"/>
    </w:rPr>
  </w:style>
  <w:style w:type="paragraph" w:styleId="Heading1">
    <w:name w:val="heading 1"/>
    <w:basedOn w:val="Normal"/>
    <w:next w:val="Normal"/>
    <w:link w:val="Heading1Char"/>
    <w:qFormat/>
    <w:locked/>
    <w:rsid w:val="00A7207A"/>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locked/>
    <w:rsid w:val="00A7207A"/>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locked/>
    <w:rsid w:val="00A7207A"/>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locked/>
    <w:rsid w:val="00A7207A"/>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C4478"/>
    <w:pPr>
      <w:widowControl/>
      <w:spacing w:before="100" w:beforeAutospacing="1" w:after="100" w:afterAutospacing="1"/>
    </w:pPr>
    <w:rPr>
      <w:szCs w:val="24"/>
      <w:lang w:val="en-CA"/>
    </w:rPr>
  </w:style>
  <w:style w:type="paragraph" w:customStyle="1" w:styleId="Default">
    <w:name w:val="Default"/>
    <w:rsid w:val="001C4478"/>
    <w:pPr>
      <w:autoSpaceDE w:val="0"/>
      <w:autoSpaceDN w:val="0"/>
      <w:adjustRightInd w:val="0"/>
    </w:pPr>
    <w:rPr>
      <w:rFonts w:ascii="Arial" w:eastAsia="Times New Roman" w:hAnsi="Arial" w:cs="Arial"/>
      <w:color w:val="000000"/>
      <w:sz w:val="24"/>
      <w:szCs w:val="24"/>
    </w:rPr>
  </w:style>
  <w:style w:type="paragraph" w:styleId="BodyTextIndent2">
    <w:name w:val="Body Text Indent 2"/>
    <w:basedOn w:val="Normal"/>
    <w:link w:val="BodyTextIndent2Char"/>
    <w:uiPriority w:val="99"/>
    <w:rsid w:val="001C4478"/>
    <w:pPr>
      <w:tabs>
        <w:tab w:val="left" w:pos="720"/>
        <w:tab w:val="left" w:pos="990"/>
        <w:tab w:val="left" w:pos="1260"/>
        <w:tab w:val="left" w:pos="7459"/>
        <w:tab w:val="decimal" w:pos="8467"/>
        <w:tab w:val="left" w:pos="8726"/>
        <w:tab w:val="decimal" w:pos="9720"/>
      </w:tabs>
      <w:ind w:left="990" w:hanging="990"/>
      <w:jc w:val="both"/>
    </w:pPr>
    <w:rPr>
      <w:rFonts w:eastAsia="Calibri"/>
      <w:sz w:val="20"/>
      <w:lang w:val="en-GB" w:eastAsia="x-none"/>
    </w:rPr>
  </w:style>
  <w:style w:type="character" w:customStyle="1" w:styleId="BodyTextIndent2Char">
    <w:name w:val="Body Text Indent 2 Char"/>
    <w:link w:val="BodyTextIndent2"/>
    <w:uiPriority w:val="99"/>
    <w:locked/>
    <w:rsid w:val="001C4478"/>
    <w:rPr>
      <w:rFonts w:ascii="Times New Roman" w:hAnsi="Times New Roman" w:cs="Times New Roman"/>
      <w:sz w:val="20"/>
      <w:szCs w:val="20"/>
      <w:lang w:val="en-GB"/>
    </w:rPr>
  </w:style>
  <w:style w:type="paragraph" w:styleId="ListParagraph">
    <w:name w:val="List Paragraph"/>
    <w:basedOn w:val="Normal"/>
    <w:link w:val="ListParagraphChar"/>
    <w:uiPriority w:val="34"/>
    <w:qFormat/>
    <w:rsid w:val="001C4478"/>
    <w:pPr>
      <w:ind w:left="720"/>
    </w:pPr>
  </w:style>
  <w:style w:type="paragraph" w:customStyle="1" w:styleId="Ne2">
    <w:name w:val="Ne2"/>
    <w:basedOn w:val="Normal"/>
    <w:uiPriority w:val="99"/>
    <w:rsid w:val="001C4478"/>
    <w:pPr>
      <w:widowControl/>
      <w:overflowPunct w:val="0"/>
      <w:autoSpaceDE w:val="0"/>
      <w:autoSpaceDN w:val="0"/>
      <w:adjustRightInd w:val="0"/>
      <w:spacing w:before="120" w:line="280" w:lineRule="atLeast"/>
      <w:ind w:left="360"/>
      <w:jc w:val="both"/>
      <w:textAlignment w:val="baseline"/>
    </w:pPr>
    <w:rPr>
      <w:rFonts w:ascii="Helvetica" w:hAnsi="Helvetica"/>
      <w:sz w:val="20"/>
    </w:rPr>
  </w:style>
  <w:style w:type="paragraph" w:styleId="BodyText3">
    <w:name w:val="Body Text 3"/>
    <w:basedOn w:val="Normal"/>
    <w:link w:val="BodyText3Char"/>
    <w:uiPriority w:val="99"/>
    <w:rsid w:val="001C4478"/>
    <w:pPr>
      <w:spacing w:after="120"/>
    </w:pPr>
    <w:rPr>
      <w:rFonts w:eastAsia="Calibri"/>
      <w:sz w:val="16"/>
      <w:szCs w:val="16"/>
      <w:lang w:eastAsia="x-none"/>
    </w:rPr>
  </w:style>
  <w:style w:type="character" w:customStyle="1" w:styleId="BodyText3Char">
    <w:name w:val="Body Text 3 Char"/>
    <w:link w:val="BodyText3"/>
    <w:uiPriority w:val="99"/>
    <w:locked/>
    <w:rsid w:val="001C4478"/>
    <w:rPr>
      <w:rFonts w:ascii="Times New Roman" w:hAnsi="Times New Roman" w:cs="Times New Roman"/>
      <w:sz w:val="16"/>
      <w:szCs w:val="16"/>
      <w:lang w:val="en-US"/>
    </w:rPr>
  </w:style>
  <w:style w:type="paragraph" w:customStyle="1" w:styleId="Ne1">
    <w:name w:val="Ne1"/>
    <w:basedOn w:val="Normal"/>
    <w:next w:val="Ne2"/>
    <w:uiPriority w:val="99"/>
    <w:rsid w:val="001C4478"/>
    <w:pPr>
      <w:widowControl/>
      <w:tabs>
        <w:tab w:val="left" w:pos="360"/>
      </w:tabs>
      <w:overflowPunct w:val="0"/>
      <w:autoSpaceDE w:val="0"/>
      <w:autoSpaceDN w:val="0"/>
      <w:adjustRightInd w:val="0"/>
      <w:spacing w:before="120" w:line="280" w:lineRule="atLeast"/>
      <w:textAlignment w:val="baseline"/>
    </w:pPr>
    <w:rPr>
      <w:rFonts w:ascii="Helvetica" w:hAnsi="Helvetica"/>
      <w:b/>
      <w:sz w:val="20"/>
    </w:rPr>
  </w:style>
  <w:style w:type="character" w:styleId="Hyperlink">
    <w:name w:val="Hyperlink"/>
    <w:uiPriority w:val="99"/>
    <w:rsid w:val="001C4478"/>
    <w:rPr>
      <w:rFonts w:cs="Times New Roman"/>
      <w:color w:val="0000FF"/>
      <w:u w:val="single"/>
    </w:rPr>
  </w:style>
  <w:style w:type="paragraph" w:styleId="BodyText">
    <w:name w:val="Body Text"/>
    <w:basedOn w:val="Normal"/>
    <w:link w:val="BodyTextChar"/>
    <w:uiPriority w:val="99"/>
    <w:semiHidden/>
    <w:rsid w:val="001C4478"/>
    <w:pPr>
      <w:spacing w:after="120"/>
    </w:pPr>
    <w:rPr>
      <w:rFonts w:eastAsia="Calibri"/>
      <w:sz w:val="20"/>
      <w:lang w:eastAsia="x-none"/>
    </w:rPr>
  </w:style>
  <w:style w:type="character" w:customStyle="1" w:styleId="BodyTextChar">
    <w:name w:val="Body Text Char"/>
    <w:link w:val="BodyText"/>
    <w:uiPriority w:val="99"/>
    <w:semiHidden/>
    <w:locked/>
    <w:rsid w:val="001C4478"/>
    <w:rPr>
      <w:rFonts w:ascii="Times New Roman" w:hAnsi="Times New Roman" w:cs="Times New Roman"/>
      <w:sz w:val="20"/>
      <w:szCs w:val="20"/>
      <w:lang w:val="en-US"/>
    </w:rPr>
  </w:style>
  <w:style w:type="paragraph" w:customStyle="1" w:styleId="Normal2B">
    <w:name w:val="Normal 2B"/>
    <w:basedOn w:val="Normal"/>
    <w:uiPriority w:val="99"/>
    <w:rsid w:val="001C4478"/>
    <w:pPr>
      <w:jc w:val="both"/>
    </w:pPr>
    <w:rPr>
      <w:rFonts w:ascii="Arial" w:hAnsi="Arial"/>
      <w:b/>
      <w:caps/>
      <w:spacing w:val="-2"/>
      <w:sz w:val="22"/>
      <w:lang w:val="en-GB"/>
    </w:rPr>
  </w:style>
  <w:style w:type="paragraph" w:customStyle="1" w:styleId="textnotes">
    <w:name w:val="text notes"/>
    <w:aliases w:val="TN,tn"/>
    <w:basedOn w:val="Normal"/>
    <w:uiPriority w:val="99"/>
    <w:rsid w:val="001C4478"/>
    <w:pPr>
      <w:widowControl/>
      <w:tabs>
        <w:tab w:val="decimal" w:pos="6380"/>
        <w:tab w:val="decimal" w:pos="7920"/>
      </w:tabs>
      <w:jc w:val="both"/>
    </w:pPr>
    <w:rPr>
      <w:rFonts w:ascii="Times" w:hAnsi="Times"/>
      <w:sz w:val="20"/>
    </w:rPr>
  </w:style>
  <w:style w:type="paragraph" w:customStyle="1" w:styleId="HEADERNOTESWITHNUMBERS">
    <w:name w:val="HEADER/NOTES WITH NUMBERS"/>
    <w:basedOn w:val="Normal"/>
    <w:uiPriority w:val="99"/>
    <w:rsid w:val="001C4478"/>
    <w:pPr>
      <w:widowControl/>
      <w:numPr>
        <w:numId w:val="2"/>
      </w:numPr>
      <w:overflowPunct w:val="0"/>
      <w:autoSpaceDE w:val="0"/>
      <w:autoSpaceDN w:val="0"/>
      <w:adjustRightInd w:val="0"/>
      <w:textAlignment w:val="baseline"/>
    </w:pPr>
    <w:rPr>
      <w:b/>
      <w:lang w:val="en-CA"/>
    </w:rPr>
  </w:style>
  <w:style w:type="paragraph" w:styleId="Header">
    <w:name w:val="header"/>
    <w:basedOn w:val="Normal"/>
    <w:link w:val="HeaderChar"/>
    <w:uiPriority w:val="99"/>
    <w:rsid w:val="00B6553D"/>
    <w:pPr>
      <w:tabs>
        <w:tab w:val="center" w:pos="4680"/>
        <w:tab w:val="right" w:pos="9360"/>
      </w:tabs>
    </w:pPr>
    <w:rPr>
      <w:rFonts w:eastAsia="Calibri"/>
      <w:sz w:val="20"/>
      <w:lang w:eastAsia="x-none"/>
    </w:rPr>
  </w:style>
  <w:style w:type="character" w:customStyle="1" w:styleId="HeaderChar">
    <w:name w:val="Header Char"/>
    <w:link w:val="Header"/>
    <w:uiPriority w:val="99"/>
    <w:locked/>
    <w:rsid w:val="00B6553D"/>
    <w:rPr>
      <w:rFonts w:ascii="Times New Roman" w:hAnsi="Times New Roman" w:cs="Times New Roman"/>
      <w:sz w:val="20"/>
      <w:szCs w:val="20"/>
      <w:lang w:val="en-US"/>
    </w:rPr>
  </w:style>
  <w:style w:type="paragraph" w:styleId="Footer">
    <w:name w:val="footer"/>
    <w:basedOn w:val="Normal"/>
    <w:link w:val="FooterChar"/>
    <w:uiPriority w:val="99"/>
    <w:rsid w:val="00B6553D"/>
    <w:pPr>
      <w:tabs>
        <w:tab w:val="center" w:pos="4680"/>
        <w:tab w:val="right" w:pos="9360"/>
      </w:tabs>
    </w:pPr>
    <w:rPr>
      <w:rFonts w:eastAsia="Calibri"/>
      <w:sz w:val="20"/>
      <w:lang w:eastAsia="x-none"/>
    </w:rPr>
  </w:style>
  <w:style w:type="character" w:customStyle="1" w:styleId="FooterChar">
    <w:name w:val="Footer Char"/>
    <w:link w:val="Footer"/>
    <w:uiPriority w:val="99"/>
    <w:locked/>
    <w:rsid w:val="00B6553D"/>
    <w:rPr>
      <w:rFonts w:ascii="Times New Roman" w:hAnsi="Times New Roman" w:cs="Times New Roman"/>
      <w:sz w:val="20"/>
      <w:szCs w:val="20"/>
      <w:lang w:val="en-US"/>
    </w:rPr>
  </w:style>
  <w:style w:type="paragraph" w:styleId="BalloonText">
    <w:name w:val="Balloon Text"/>
    <w:basedOn w:val="Normal"/>
    <w:link w:val="BalloonTextChar"/>
    <w:uiPriority w:val="99"/>
    <w:semiHidden/>
    <w:rsid w:val="00B6553D"/>
    <w:rPr>
      <w:rFonts w:ascii="Tahoma" w:eastAsia="Calibri" w:hAnsi="Tahoma"/>
      <w:sz w:val="16"/>
      <w:szCs w:val="16"/>
      <w:lang w:eastAsia="x-none"/>
    </w:rPr>
  </w:style>
  <w:style w:type="character" w:customStyle="1" w:styleId="BalloonTextChar">
    <w:name w:val="Balloon Text Char"/>
    <w:link w:val="BalloonText"/>
    <w:uiPriority w:val="99"/>
    <w:semiHidden/>
    <w:locked/>
    <w:rsid w:val="00B6553D"/>
    <w:rPr>
      <w:rFonts w:ascii="Tahoma" w:hAnsi="Tahoma" w:cs="Tahoma"/>
      <w:sz w:val="16"/>
      <w:szCs w:val="16"/>
      <w:lang w:val="en-US"/>
    </w:rPr>
  </w:style>
  <w:style w:type="paragraph" w:customStyle="1" w:styleId="DFS3">
    <w:name w:val="DFS3"/>
    <w:basedOn w:val="Normal"/>
    <w:next w:val="Normal"/>
    <w:uiPriority w:val="99"/>
    <w:rsid w:val="00AC4825"/>
    <w:pPr>
      <w:widowControl/>
      <w:tabs>
        <w:tab w:val="left" w:pos="6200"/>
        <w:tab w:val="decimal" w:pos="7280"/>
        <w:tab w:val="left" w:pos="7920"/>
        <w:tab w:val="decimal" w:pos="9000"/>
      </w:tabs>
      <w:overflowPunct w:val="0"/>
      <w:autoSpaceDE w:val="0"/>
      <w:autoSpaceDN w:val="0"/>
      <w:adjustRightInd w:val="0"/>
      <w:ind w:left="900" w:hanging="180"/>
      <w:textAlignment w:val="baseline"/>
    </w:pPr>
    <w:rPr>
      <w:rFonts w:ascii="Helvetica" w:hAnsi="Helvetica"/>
      <w:sz w:val="20"/>
    </w:rPr>
  </w:style>
  <w:style w:type="paragraph" w:customStyle="1" w:styleId="Indent1">
    <w:name w:val="Indent 1"/>
    <w:basedOn w:val="Normal"/>
    <w:link w:val="Indent1Char"/>
    <w:uiPriority w:val="99"/>
    <w:rsid w:val="00667599"/>
    <w:pPr>
      <w:widowControl/>
      <w:ind w:left="432"/>
    </w:pPr>
    <w:rPr>
      <w:rFonts w:eastAsia="Calibri"/>
      <w:sz w:val="20"/>
      <w:lang w:val="x-none" w:eastAsia="x-none"/>
    </w:rPr>
  </w:style>
  <w:style w:type="character" w:customStyle="1" w:styleId="Indent1Char">
    <w:name w:val="Indent 1 Char"/>
    <w:link w:val="Indent1"/>
    <w:uiPriority w:val="99"/>
    <w:locked/>
    <w:rsid w:val="00667599"/>
    <w:rPr>
      <w:rFonts w:ascii="Times New Roman" w:hAnsi="Times New Roman" w:cs="Times New Roman"/>
      <w:sz w:val="20"/>
      <w:szCs w:val="20"/>
    </w:rPr>
  </w:style>
  <w:style w:type="paragraph" w:customStyle="1" w:styleId="DRFinancialStatements">
    <w:name w:val="DR Financial Statements"/>
    <w:basedOn w:val="Normal"/>
    <w:rsid w:val="00BA52AA"/>
    <w:pPr>
      <w:suppressAutoHyphens/>
      <w:overflowPunct w:val="0"/>
      <w:autoSpaceDE w:val="0"/>
      <w:autoSpaceDN w:val="0"/>
      <w:adjustRightInd w:val="0"/>
      <w:spacing w:line="100" w:lineRule="atLeast"/>
      <w:jc w:val="both"/>
      <w:textAlignment w:val="baseline"/>
    </w:pPr>
    <w:rPr>
      <w:rFonts w:ascii="Univers" w:hAnsi="Univers"/>
      <w:spacing w:val="-2"/>
      <w:sz w:val="20"/>
      <w:lang w:val="en-GB"/>
    </w:rPr>
  </w:style>
  <w:style w:type="character" w:styleId="CommentReference">
    <w:name w:val="annotation reference"/>
    <w:uiPriority w:val="99"/>
    <w:semiHidden/>
    <w:unhideWhenUsed/>
    <w:rsid w:val="00620D6E"/>
    <w:rPr>
      <w:sz w:val="16"/>
      <w:szCs w:val="16"/>
    </w:rPr>
  </w:style>
  <w:style w:type="paragraph" w:styleId="CommentText">
    <w:name w:val="annotation text"/>
    <w:basedOn w:val="Normal"/>
    <w:link w:val="CommentTextChar"/>
    <w:uiPriority w:val="99"/>
    <w:semiHidden/>
    <w:unhideWhenUsed/>
    <w:rsid w:val="00620D6E"/>
    <w:rPr>
      <w:sz w:val="20"/>
    </w:rPr>
  </w:style>
  <w:style w:type="character" w:customStyle="1" w:styleId="CommentTextChar">
    <w:name w:val="Comment Text Char"/>
    <w:link w:val="CommentText"/>
    <w:uiPriority w:val="99"/>
    <w:semiHidden/>
    <w:rsid w:val="00620D6E"/>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20D6E"/>
    <w:rPr>
      <w:b/>
      <w:bCs/>
    </w:rPr>
  </w:style>
  <w:style w:type="character" w:customStyle="1" w:styleId="CommentSubjectChar">
    <w:name w:val="Comment Subject Char"/>
    <w:link w:val="CommentSubject"/>
    <w:uiPriority w:val="99"/>
    <w:semiHidden/>
    <w:rsid w:val="00620D6E"/>
    <w:rPr>
      <w:rFonts w:ascii="Times New Roman" w:eastAsia="Times New Roman" w:hAnsi="Times New Roman"/>
      <w:b/>
      <w:bCs/>
      <w:lang w:val="en-US" w:eastAsia="en-US"/>
    </w:rPr>
  </w:style>
  <w:style w:type="character" w:styleId="Emphasis">
    <w:name w:val="Emphasis"/>
    <w:qFormat/>
    <w:locked/>
    <w:rsid w:val="00A7207A"/>
    <w:rPr>
      <w:i/>
      <w:iCs/>
    </w:rPr>
  </w:style>
  <w:style w:type="character" w:customStyle="1" w:styleId="Heading1Char">
    <w:name w:val="Heading 1 Char"/>
    <w:link w:val="Heading1"/>
    <w:rsid w:val="00A7207A"/>
    <w:rPr>
      <w:rFonts w:ascii="Cambria" w:eastAsia="Times New Roman" w:hAnsi="Cambria" w:cs="Times New Roman"/>
      <w:b/>
      <w:bCs/>
      <w:kern w:val="32"/>
      <w:sz w:val="32"/>
      <w:szCs w:val="32"/>
    </w:rPr>
  </w:style>
  <w:style w:type="character" w:customStyle="1" w:styleId="Heading2Char">
    <w:name w:val="Heading 2 Char"/>
    <w:link w:val="Heading2"/>
    <w:rsid w:val="00A7207A"/>
    <w:rPr>
      <w:rFonts w:ascii="Cambria" w:eastAsia="Times New Roman" w:hAnsi="Cambria" w:cs="Times New Roman"/>
      <w:b/>
      <w:bCs/>
      <w:i/>
      <w:iCs/>
      <w:sz w:val="28"/>
      <w:szCs w:val="28"/>
    </w:rPr>
  </w:style>
  <w:style w:type="character" w:customStyle="1" w:styleId="Heading3Char">
    <w:name w:val="Heading 3 Char"/>
    <w:link w:val="Heading3"/>
    <w:rsid w:val="00A7207A"/>
    <w:rPr>
      <w:rFonts w:ascii="Cambria" w:eastAsia="Times New Roman" w:hAnsi="Cambria" w:cs="Times New Roman"/>
      <w:b/>
      <w:bCs/>
      <w:sz w:val="26"/>
      <w:szCs w:val="26"/>
    </w:rPr>
  </w:style>
  <w:style w:type="character" w:customStyle="1" w:styleId="Heading4Char">
    <w:name w:val="Heading 4 Char"/>
    <w:link w:val="Heading4"/>
    <w:rsid w:val="00A7207A"/>
    <w:rPr>
      <w:rFonts w:ascii="Calibri" w:eastAsia="Times New Roman" w:hAnsi="Calibri" w:cs="Times New Roman"/>
      <w:b/>
      <w:bCs/>
      <w:sz w:val="28"/>
      <w:szCs w:val="28"/>
    </w:rPr>
  </w:style>
  <w:style w:type="paragraph" w:styleId="Revision">
    <w:name w:val="Revision"/>
    <w:hidden/>
    <w:uiPriority w:val="99"/>
    <w:semiHidden/>
    <w:rsid w:val="00EA20C4"/>
    <w:rPr>
      <w:rFonts w:ascii="Times New Roman" w:eastAsia="Times New Roman" w:hAnsi="Times New Roman"/>
      <w:sz w:val="24"/>
      <w:lang w:val="en-US" w:eastAsia="en-US"/>
    </w:rPr>
  </w:style>
  <w:style w:type="table" w:styleId="TableGrid">
    <w:name w:val="Table Grid"/>
    <w:basedOn w:val="TableNormal"/>
    <w:locked/>
    <w:rsid w:val="001D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2431C"/>
    <w:pPr>
      <w:widowControl w:val="0"/>
    </w:pPr>
    <w:rPr>
      <w:rFonts w:ascii="Times New Roman" w:eastAsia="Times New Roman" w:hAnsi="Times New Roman"/>
      <w:sz w:val="24"/>
      <w:lang w:val="en-US" w:eastAsia="en-US"/>
    </w:rPr>
  </w:style>
  <w:style w:type="character" w:customStyle="1" w:styleId="NoSpacingChar">
    <w:name w:val="No Spacing Char"/>
    <w:link w:val="NoSpacing"/>
    <w:uiPriority w:val="1"/>
    <w:rsid w:val="00705DF6"/>
    <w:rPr>
      <w:rFonts w:ascii="Times New Roman" w:eastAsia="Times New Roman" w:hAnsi="Times New Roman"/>
      <w:sz w:val="24"/>
      <w:lang w:val="en-US" w:eastAsia="en-US" w:bidi="ar-SA"/>
    </w:rPr>
  </w:style>
  <w:style w:type="table" w:customStyle="1" w:styleId="TableGrid1">
    <w:name w:val="Table Grid1"/>
    <w:basedOn w:val="TableNormal"/>
    <w:next w:val="TableGrid"/>
    <w:rsid w:val="00F3554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locked/>
    <w:rsid w:val="00E13B32"/>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C9A"/>
    <w:pPr>
      <w:widowControl w:val="0"/>
    </w:pPr>
    <w:rPr>
      <w:rFonts w:ascii="Times New Roman" w:eastAsia="Times New Roman" w:hAnsi="Times New Roman"/>
      <w:sz w:val="24"/>
      <w:lang w:val="en-US" w:eastAsia="en-US"/>
    </w:rPr>
  </w:style>
  <w:style w:type="paragraph" w:styleId="Heading1">
    <w:name w:val="heading 1"/>
    <w:basedOn w:val="Normal"/>
    <w:next w:val="Normal"/>
    <w:link w:val="Heading1Char"/>
    <w:qFormat/>
    <w:locked/>
    <w:rsid w:val="00A7207A"/>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locked/>
    <w:rsid w:val="00A7207A"/>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locked/>
    <w:rsid w:val="00A7207A"/>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locked/>
    <w:rsid w:val="00A7207A"/>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C4478"/>
    <w:pPr>
      <w:widowControl/>
      <w:spacing w:before="100" w:beforeAutospacing="1" w:after="100" w:afterAutospacing="1"/>
    </w:pPr>
    <w:rPr>
      <w:szCs w:val="24"/>
      <w:lang w:val="en-CA"/>
    </w:rPr>
  </w:style>
  <w:style w:type="paragraph" w:customStyle="1" w:styleId="Default">
    <w:name w:val="Default"/>
    <w:rsid w:val="001C4478"/>
    <w:pPr>
      <w:autoSpaceDE w:val="0"/>
      <w:autoSpaceDN w:val="0"/>
      <w:adjustRightInd w:val="0"/>
    </w:pPr>
    <w:rPr>
      <w:rFonts w:ascii="Arial" w:eastAsia="Times New Roman" w:hAnsi="Arial" w:cs="Arial"/>
      <w:color w:val="000000"/>
      <w:sz w:val="24"/>
      <w:szCs w:val="24"/>
    </w:rPr>
  </w:style>
  <w:style w:type="paragraph" w:styleId="BodyTextIndent2">
    <w:name w:val="Body Text Indent 2"/>
    <w:basedOn w:val="Normal"/>
    <w:link w:val="BodyTextIndent2Char"/>
    <w:uiPriority w:val="99"/>
    <w:rsid w:val="001C4478"/>
    <w:pPr>
      <w:tabs>
        <w:tab w:val="left" w:pos="720"/>
        <w:tab w:val="left" w:pos="990"/>
        <w:tab w:val="left" w:pos="1260"/>
        <w:tab w:val="left" w:pos="7459"/>
        <w:tab w:val="decimal" w:pos="8467"/>
        <w:tab w:val="left" w:pos="8726"/>
        <w:tab w:val="decimal" w:pos="9720"/>
      </w:tabs>
      <w:ind w:left="990" w:hanging="990"/>
      <w:jc w:val="both"/>
    </w:pPr>
    <w:rPr>
      <w:rFonts w:eastAsia="Calibri"/>
      <w:sz w:val="20"/>
      <w:lang w:val="en-GB" w:eastAsia="x-none"/>
    </w:rPr>
  </w:style>
  <w:style w:type="character" w:customStyle="1" w:styleId="BodyTextIndent2Char">
    <w:name w:val="Body Text Indent 2 Char"/>
    <w:link w:val="BodyTextIndent2"/>
    <w:uiPriority w:val="99"/>
    <w:locked/>
    <w:rsid w:val="001C4478"/>
    <w:rPr>
      <w:rFonts w:ascii="Times New Roman" w:hAnsi="Times New Roman" w:cs="Times New Roman"/>
      <w:sz w:val="20"/>
      <w:szCs w:val="20"/>
      <w:lang w:val="en-GB"/>
    </w:rPr>
  </w:style>
  <w:style w:type="paragraph" w:styleId="ListParagraph">
    <w:name w:val="List Paragraph"/>
    <w:basedOn w:val="Normal"/>
    <w:link w:val="ListParagraphChar"/>
    <w:uiPriority w:val="34"/>
    <w:qFormat/>
    <w:rsid w:val="001C4478"/>
    <w:pPr>
      <w:ind w:left="720"/>
    </w:pPr>
  </w:style>
  <w:style w:type="paragraph" w:customStyle="1" w:styleId="Ne2">
    <w:name w:val="Ne2"/>
    <w:basedOn w:val="Normal"/>
    <w:uiPriority w:val="99"/>
    <w:rsid w:val="001C4478"/>
    <w:pPr>
      <w:widowControl/>
      <w:overflowPunct w:val="0"/>
      <w:autoSpaceDE w:val="0"/>
      <w:autoSpaceDN w:val="0"/>
      <w:adjustRightInd w:val="0"/>
      <w:spacing w:before="120" w:line="280" w:lineRule="atLeast"/>
      <w:ind w:left="360"/>
      <w:jc w:val="both"/>
      <w:textAlignment w:val="baseline"/>
    </w:pPr>
    <w:rPr>
      <w:rFonts w:ascii="Helvetica" w:hAnsi="Helvetica"/>
      <w:sz w:val="20"/>
    </w:rPr>
  </w:style>
  <w:style w:type="paragraph" w:styleId="BodyText3">
    <w:name w:val="Body Text 3"/>
    <w:basedOn w:val="Normal"/>
    <w:link w:val="BodyText3Char"/>
    <w:uiPriority w:val="99"/>
    <w:rsid w:val="001C4478"/>
    <w:pPr>
      <w:spacing w:after="120"/>
    </w:pPr>
    <w:rPr>
      <w:rFonts w:eastAsia="Calibri"/>
      <w:sz w:val="16"/>
      <w:szCs w:val="16"/>
      <w:lang w:eastAsia="x-none"/>
    </w:rPr>
  </w:style>
  <w:style w:type="character" w:customStyle="1" w:styleId="BodyText3Char">
    <w:name w:val="Body Text 3 Char"/>
    <w:link w:val="BodyText3"/>
    <w:uiPriority w:val="99"/>
    <w:locked/>
    <w:rsid w:val="001C4478"/>
    <w:rPr>
      <w:rFonts w:ascii="Times New Roman" w:hAnsi="Times New Roman" w:cs="Times New Roman"/>
      <w:sz w:val="16"/>
      <w:szCs w:val="16"/>
      <w:lang w:val="en-US"/>
    </w:rPr>
  </w:style>
  <w:style w:type="paragraph" w:customStyle="1" w:styleId="Ne1">
    <w:name w:val="Ne1"/>
    <w:basedOn w:val="Normal"/>
    <w:next w:val="Ne2"/>
    <w:uiPriority w:val="99"/>
    <w:rsid w:val="001C4478"/>
    <w:pPr>
      <w:widowControl/>
      <w:tabs>
        <w:tab w:val="left" w:pos="360"/>
      </w:tabs>
      <w:overflowPunct w:val="0"/>
      <w:autoSpaceDE w:val="0"/>
      <w:autoSpaceDN w:val="0"/>
      <w:adjustRightInd w:val="0"/>
      <w:spacing w:before="120" w:line="280" w:lineRule="atLeast"/>
      <w:textAlignment w:val="baseline"/>
    </w:pPr>
    <w:rPr>
      <w:rFonts w:ascii="Helvetica" w:hAnsi="Helvetica"/>
      <w:b/>
      <w:sz w:val="20"/>
    </w:rPr>
  </w:style>
  <w:style w:type="character" w:styleId="Hyperlink">
    <w:name w:val="Hyperlink"/>
    <w:uiPriority w:val="99"/>
    <w:rsid w:val="001C4478"/>
    <w:rPr>
      <w:rFonts w:cs="Times New Roman"/>
      <w:color w:val="0000FF"/>
      <w:u w:val="single"/>
    </w:rPr>
  </w:style>
  <w:style w:type="paragraph" w:styleId="BodyText">
    <w:name w:val="Body Text"/>
    <w:basedOn w:val="Normal"/>
    <w:link w:val="BodyTextChar"/>
    <w:uiPriority w:val="99"/>
    <w:semiHidden/>
    <w:rsid w:val="001C4478"/>
    <w:pPr>
      <w:spacing w:after="120"/>
    </w:pPr>
    <w:rPr>
      <w:rFonts w:eastAsia="Calibri"/>
      <w:sz w:val="20"/>
      <w:lang w:eastAsia="x-none"/>
    </w:rPr>
  </w:style>
  <w:style w:type="character" w:customStyle="1" w:styleId="BodyTextChar">
    <w:name w:val="Body Text Char"/>
    <w:link w:val="BodyText"/>
    <w:uiPriority w:val="99"/>
    <w:semiHidden/>
    <w:locked/>
    <w:rsid w:val="001C4478"/>
    <w:rPr>
      <w:rFonts w:ascii="Times New Roman" w:hAnsi="Times New Roman" w:cs="Times New Roman"/>
      <w:sz w:val="20"/>
      <w:szCs w:val="20"/>
      <w:lang w:val="en-US"/>
    </w:rPr>
  </w:style>
  <w:style w:type="paragraph" w:customStyle="1" w:styleId="Normal2B">
    <w:name w:val="Normal 2B"/>
    <w:basedOn w:val="Normal"/>
    <w:uiPriority w:val="99"/>
    <w:rsid w:val="001C4478"/>
    <w:pPr>
      <w:jc w:val="both"/>
    </w:pPr>
    <w:rPr>
      <w:rFonts w:ascii="Arial" w:hAnsi="Arial"/>
      <w:b/>
      <w:caps/>
      <w:spacing w:val="-2"/>
      <w:sz w:val="22"/>
      <w:lang w:val="en-GB"/>
    </w:rPr>
  </w:style>
  <w:style w:type="paragraph" w:customStyle="1" w:styleId="textnotes">
    <w:name w:val="text notes"/>
    <w:aliases w:val="TN,tn"/>
    <w:basedOn w:val="Normal"/>
    <w:uiPriority w:val="99"/>
    <w:rsid w:val="001C4478"/>
    <w:pPr>
      <w:widowControl/>
      <w:tabs>
        <w:tab w:val="decimal" w:pos="6380"/>
        <w:tab w:val="decimal" w:pos="7920"/>
      </w:tabs>
      <w:jc w:val="both"/>
    </w:pPr>
    <w:rPr>
      <w:rFonts w:ascii="Times" w:hAnsi="Times"/>
      <w:sz w:val="20"/>
    </w:rPr>
  </w:style>
  <w:style w:type="paragraph" w:customStyle="1" w:styleId="HEADERNOTESWITHNUMBERS">
    <w:name w:val="HEADER/NOTES WITH NUMBERS"/>
    <w:basedOn w:val="Normal"/>
    <w:uiPriority w:val="99"/>
    <w:rsid w:val="001C4478"/>
    <w:pPr>
      <w:widowControl/>
      <w:numPr>
        <w:numId w:val="2"/>
      </w:numPr>
      <w:overflowPunct w:val="0"/>
      <w:autoSpaceDE w:val="0"/>
      <w:autoSpaceDN w:val="0"/>
      <w:adjustRightInd w:val="0"/>
      <w:textAlignment w:val="baseline"/>
    </w:pPr>
    <w:rPr>
      <w:b/>
      <w:lang w:val="en-CA"/>
    </w:rPr>
  </w:style>
  <w:style w:type="paragraph" w:styleId="Header">
    <w:name w:val="header"/>
    <w:basedOn w:val="Normal"/>
    <w:link w:val="HeaderChar"/>
    <w:uiPriority w:val="99"/>
    <w:rsid w:val="00B6553D"/>
    <w:pPr>
      <w:tabs>
        <w:tab w:val="center" w:pos="4680"/>
        <w:tab w:val="right" w:pos="9360"/>
      </w:tabs>
    </w:pPr>
    <w:rPr>
      <w:rFonts w:eastAsia="Calibri"/>
      <w:sz w:val="20"/>
      <w:lang w:eastAsia="x-none"/>
    </w:rPr>
  </w:style>
  <w:style w:type="character" w:customStyle="1" w:styleId="HeaderChar">
    <w:name w:val="Header Char"/>
    <w:link w:val="Header"/>
    <w:uiPriority w:val="99"/>
    <w:locked/>
    <w:rsid w:val="00B6553D"/>
    <w:rPr>
      <w:rFonts w:ascii="Times New Roman" w:hAnsi="Times New Roman" w:cs="Times New Roman"/>
      <w:sz w:val="20"/>
      <w:szCs w:val="20"/>
      <w:lang w:val="en-US"/>
    </w:rPr>
  </w:style>
  <w:style w:type="paragraph" w:styleId="Footer">
    <w:name w:val="footer"/>
    <w:basedOn w:val="Normal"/>
    <w:link w:val="FooterChar"/>
    <w:uiPriority w:val="99"/>
    <w:rsid w:val="00B6553D"/>
    <w:pPr>
      <w:tabs>
        <w:tab w:val="center" w:pos="4680"/>
        <w:tab w:val="right" w:pos="9360"/>
      </w:tabs>
    </w:pPr>
    <w:rPr>
      <w:rFonts w:eastAsia="Calibri"/>
      <w:sz w:val="20"/>
      <w:lang w:eastAsia="x-none"/>
    </w:rPr>
  </w:style>
  <w:style w:type="character" w:customStyle="1" w:styleId="FooterChar">
    <w:name w:val="Footer Char"/>
    <w:link w:val="Footer"/>
    <w:uiPriority w:val="99"/>
    <w:locked/>
    <w:rsid w:val="00B6553D"/>
    <w:rPr>
      <w:rFonts w:ascii="Times New Roman" w:hAnsi="Times New Roman" w:cs="Times New Roman"/>
      <w:sz w:val="20"/>
      <w:szCs w:val="20"/>
      <w:lang w:val="en-US"/>
    </w:rPr>
  </w:style>
  <w:style w:type="paragraph" w:styleId="BalloonText">
    <w:name w:val="Balloon Text"/>
    <w:basedOn w:val="Normal"/>
    <w:link w:val="BalloonTextChar"/>
    <w:uiPriority w:val="99"/>
    <w:semiHidden/>
    <w:rsid w:val="00B6553D"/>
    <w:rPr>
      <w:rFonts w:ascii="Tahoma" w:eastAsia="Calibri" w:hAnsi="Tahoma"/>
      <w:sz w:val="16"/>
      <w:szCs w:val="16"/>
      <w:lang w:eastAsia="x-none"/>
    </w:rPr>
  </w:style>
  <w:style w:type="character" w:customStyle="1" w:styleId="BalloonTextChar">
    <w:name w:val="Balloon Text Char"/>
    <w:link w:val="BalloonText"/>
    <w:uiPriority w:val="99"/>
    <w:semiHidden/>
    <w:locked/>
    <w:rsid w:val="00B6553D"/>
    <w:rPr>
      <w:rFonts w:ascii="Tahoma" w:hAnsi="Tahoma" w:cs="Tahoma"/>
      <w:sz w:val="16"/>
      <w:szCs w:val="16"/>
      <w:lang w:val="en-US"/>
    </w:rPr>
  </w:style>
  <w:style w:type="paragraph" w:customStyle="1" w:styleId="DFS3">
    <w:name w:val="DFS3"/>
    <w:basedOn w:val="Normal"/>
    <w:next w:val="Normal"/>
    <w:uiPriority w:val="99"/>
    <w:rsid w:val="00AC4825"/>
    <w:pPr>
      <w:widowControl/>
      <w:tabs>
        <w:tab w:val="left" w:pos="6200"/>
        <w:tab w:val="decimal" w:pos="7280"/>
        <w:tab w:val="left" w:pos="7920"/>
        <w:tab w:val="decimal" w:pos="9000"/>
      </w:tabs>
      <w:overflowPunct w:val="0"/>
      <w:autoSpaceDE w:val="0"/>
      <w:autoSpaceDN w:val="0"/>
      <w:adjustRightInd w:val="0"/>
      <w:ind w:left="900" w:hanging="180"/>
      <w:textAlignment w:val="baseline"/>
    </w:pPr>
    <w:rPr>
      <w:rFonts w:ascii="Helvetica" w:hAnsi="Helvetica"/>
      <w:sz w:val="20"/>
    </w:rPr>
  </w:style>
  <w:style w:type="paragraph" w:customStyle="1" w:styleId="Indent1">
    <w:name w:val="Indent 1"/>
    <w:basedOn w:val="Normal"/>
    <w:link w:val="Indent1Char"/>
    <w:uiPriority w:val="99"/>
    <w:rsid w:val="00667599"/>
    <w:pPr>
      <w:widowControl/>
      <w:ind w:left="432"/>
    </w:pPr>
    <w:rPr>
      <w:rFonts w:eastAsia="Calibri"/>
      <w:sz w:val="20"/>
      <w:lang w:val="x-none" w:eastAsia="x-none"/>
    </w:rPr>
  </w:style>
  <w:style w:type="character" w:customStyle="1" w:styleId="Indent1Char">
    <w:name w:val="Indent 1 Char"/>
    <w:link w:val="Indent1"/>
    <w:uiPriority w:val="99"/>
    <w:locked/>
    <w:rsid w:val="00667599"/>
    <w:rPr>
      <w:rFonts w:ascii="Times New Roman" w:hAnsi="Times New Roman" w:cs="Times New Roman"/>
      <w:sz w:val="20"/>
      <w:szCs w:val="20"/>
    </w:rPr>
  </w:style>
  <w:style w:type="paragraph" w:customStyle="1" w:styleId="DRFinancialStatements">
    <w:name w:val="DR Financial Statements"/>
    <w:basedOn w:val="Normal"/>
    <w:rsid w:val="00BA52AA"/>
    <w:pPr>
      <w:suppressAutoHyphens/>
      <w:overflowPunct w:val="0"/>
      <w:autoSpaceDE w:val="0"/>
      <w:autoSpaceDN w:val="0"/>
      <w:adjustRightInd w:val="0"/>
      <w:spacing w:line="100" w:lineRule="atLeast"/>
      <w:jc w:val="both"/>
      <w:textAlignment w:val="baseline"/>
    </w:pPr>
    <w:rPr>
      <w:rFonts w:ascii="Univers" w:hAnsi="Univers"/>
      <w:spacing w:val="-2"/>
      <w:sz w:val="20"/>
      <w:lang w:val="en-GB"/>
    </w:rPr>
  </w:style>
  <w:style w:type="character" w:styleId="CommentReference">
    <w:name w:val="annotation reference"/>
    <w:uiPriority w:val="99"/>
    <w:semiHidden/>
    <w:unhideWhenUsed/>
    <w:rsid w:val="00620D6E"/>
    <w:rPr>
      <w:sz w:val="16"/>
      <w:szCs w:val="16"/>
    </w:rPr>
  </w:style>
  <w:style w:type="paragraph" w:styleId="CommentText">
    <w:name w:val="annotation text"/>
    <w:basedOn w:val="Normal"/>
    <w:link w:val="CommentTextChar"/>
    <w:uiPriority w:val="99"/>
    <w:semiHidden/>
    <w:unhideWhenUsed/>
    <w:rsid w:val="00620D6E"/>
    <w:rPr>
      <w:sz w:val="20"/>
    </w:rPr>
  </w:style>
  <w:style w:type="character" w:customStyle="1" w:styleId="CommentTextChar">
    <w:name w:val="Comment Text Char"/>
    <w:link w:val="CommentText"/>
    <w:uiPriority w:val="99"/>
    <w:semiHidden/>
    <w:rsid w:val="00620D6E"/>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20D6E"/>
    <w:rPr>
      <w:b/>
      <w:bCs/>
    </w:rPr>
  </w:style>
  <w:style w:type="character" w:customStyle="1" w:styleId="CommentSubjectChar">
    <w:name w:val="Comment Subject Char"/>
    <w:link w:val="CommentSubject"/>
    <w:uiPriority w:val="99"/>
    <w:semiHidden/>
    <w:rsid w:val="00620D6E"/>
    <w:rPr>
      <w:rFonts w:ascii="Times New Roman" w:eastAsia="Times New Roman" w:hAnsi="Times New Roman"/>
      <w:b/>
      <w:bCs/>
      <w:lang w:val="en-US" w:eastAsia="en-US"/>
    </w:rPr>
  </w:style>
  <w:style w:type="character" w:styleId="Emphasis">
    <w:name w:val="Emphasis"/>
    <w:qFormat/>
    <w:locked/>
    <w:rsid w:val="00A7207A"/>
    <w:rPr>
      <w:i/>
      <w:iCs/>
    </w:rPr>
  </w:style>
  <w:style w:type="character" w:customStyle="1" w:styleId="Heading1Char">
    <w:name w:val="Heading 1 Char"/>
    <w:link w:val="Heading1"/>
    <w:rsid w:val="00A7207A"/>
    <w:rPr>
      <w:rFonts w:ascii="Cambria" w:eastAsia="Times New Roman" w:hAnsi="Cambria" w:cs="Times New Roman"/>
      <w:b/>
      <w:bCs/>
      <w:kern w:val="32"/>
      <w:sz w:val="32"/>
      <w:szCs w:val="32"/>
    </w:rPr>
  </w:style>
  <w:style w:type="character" w:customStyle="1" w:styleId="Heading2Char">
    <w:name w:val="Heading 2 Char"/>
    <w:link w:val="Heading2"/>
    <w:rsid w:val="00A7207A"/>
    <w:rPr>
      <w:rFonts w:ascii="Cambria" w:eastAsia="Times New Roman" w:hAnsi="Cambria" w:cs="Times New Roman"/>
      <w:b/>
      <w:bCs/>
      <w:i/>
      <w:iCs/>
      <w:sz w:val="28"/>
      <w:szCs w:val="28"/>
    </w:rPr>
  </w:style>
  <w:style w:type="character" w:customStyle="1" w:styleId="Heading3Char">
    <w:name w:val="Heading 3 Char"/>
    <w:link w:val="Heading3"/>
    <w:rsid w:val="00A7207A"/>
    <w:rPr>
      <w:rFonts w:ascii="Cambria" w:eastAsia="Times New Roman" w:hAnsi="Cambria" w:cs="Times New Roman"/>
      <w:b/>
      <w:bCs/>
      <w:sz w:val="26"/>
      <w:szCs w:val="26"/>
    </w:rPr>
  </w:style>
  <w:style w:type="character" w:customStyle="1" w:styleId="Heading4Char">
    <w:name w:val="Heading 4 Char"/>
    <w:link w:val="Heading4"/>
    <w:rsid w:val="00A7207A"/>
    <w:rPr>
      <w:rFonts w:ascii="Calibri" w:eastAsia="Times New Roman" w:hAnsi="Calibri" w:cs="Times New Roman"/>
      <w:b/>
      <w:bCs/>
      <w:sz w:val="28"/>
      <w:szCs w:val="28"/>
    </w:rPr>
  </w:style>
  <w:style w:type="paragraph" w:styleId="Revision">
    <w:name w:val="Revision"/>
    <w:hidden/>
    <w:uiPriority w:val="99"/>
    <w:semiHidden/>
    <w:rsid w:val="00EA20C4"/>
    <w:rPr>
      <w:rFonts w:ascii="Times New Roman" w:eastAsia="Times New Roman" w:hAnsi="Times New Roman"/>
      <w:sz w:val="24"/>
      <w:lang w:val="en-US" w:eastAsia="en-US"/>
    </w:rPr>
  </w:style>
  <w:style w:type="table" w:styleId="TableGrid">
    <w:name w:val="Table Grid"/>
    <w:basedOn w:val="TableNormal"/>
    <w:locked/>
    <w:rsid w:val="001D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2431C"/>
    <w:pPr>
      <w:widowControl w:val="0"/>
    </w:pPr>
    <w:rPr>
      <w:rFonts w:ascii="Times New Roman" w:eastAsia="Times New Roman" w:hAnsi="Times New Roman"/>
      <w:sz w:val="24"/>
      <w:lang w:val="en-US" w:eastAsia="en-US"/>
    </w:rPr>
  </w:style>
  <w:style w:type="character" w:customStyle="1" w:styleId="NoSpacingChar">
    <w:name w:val="No Spacing Char"/>
    <w:link w:val="NoSpacing"/>
    <w:uiPriority w:val="1"/>
    <w:rsid w:val="00705DF6"/>
    <w:rPr>
      <w:rFonts w:ascii="Times New Roman" w:eastAsia="Times New Roman" w:hAnsi="Times New Roman"/>
      <w:sz w:val="24"/>
      <w:lang w:val="en-US" w:eastAsia="en-US" w:bidi="ar-SA"/>
    </w:rPr>
  </w:style>
  <w:style w:type="table" w:customStyle="1" w:styleId="TableGrid1">
    <w:name w:val="Table Grid1"/>
    <w:basedOn w:val="TableNormal"/>
    <w:next w:val="TableGrid"/>
    <w:rsid w:val="00F3554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locked/>
    <w:rsid w:val="00E13B32"/>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7598">
      <w:bodyDiv w:val="1"/>
      <w:marLeft w:val="0"/>
      <w:marRight w:val="0"/>
      <w:marTop w:val="0"/>
      <w:marBottom w:val="0"/>
      <w:divBdr>
        <w:top w:val="none" w:sz="0" w:space="0" w:color="auto"/>
        <w:left w:val="none" w:sz="0" w:space="0" w:color="auto"/>
        <w:bottom w:val="none" w:sz="0" w:space="0" w:color="auto"/>
        <w:right w:val="none" w:sz="0" w:space="0" w:color="auto"/>
      </w:divBdr>
    </w:div>
    <w:div w:id="125244652">
      <w:bodyDiv w:val="1"/>
      <w:marLeft w:val="0"/>
      <w:marRight w:val="0"/>
      <w:marTop w:val="0"/>
      <w:marBottom w:val="0"/>
      <w:divBdr>
        <w:top w:val="none" w:sz="0" w:space="0" w:color="auto"/>
        <w:left w:val="none" w:sz="0" w:space="0" w:color="auto"/>
        <w:bottom w:val="none" w:sz="0" w:space="0" w:color="auto"/>
        <w:right w:val="none" w:sz="0" w:space="0" w:color="auto"/>
      </w:divBdr>
    </w:div>
    <w:div w:id="333648516">
      <w:bodyDiv w:val="1"/>
      <w:marLeft w:val="0"/>
      <w:marRight w:val="0"/>
      <w:marTop w:val="0"/>
      <w:marBottom w:val="0"/>
      <w:divBdr>
        <w:top w:val="none" w:sz="0" w:space="0" w:color="auto"/>
        <w:left w:val="none" w:sz="0" w:space="0" w:color="auto"/>
        <w:bottom w:val="none" w:sz="0" w:space="0" w:color="auto"/>
        <w:right w:val="none" w:sz="0" w:space="0" w:color="auto"/>
      </w:divBdr>
    </w:div>
    <w:div w:id="362708389">
      <w:bodyDiv w:val="1"/>
      <w:marLeft w:val="0"/>
      <w:marRight w:val="0"/>
      <w:marTop w:val="0"/>
      <w:marBottom w:val="0"/>
      <w:divBdr>
        <w:top w:val="none" w:sz="0" w:space="0" w:color="auto"/>
        <w:left w:val="none" w:sz="0" w:space="0" w:color="auto"/>
        <w:bottom w:val="none" w:sz="0" w:space="0" w:color="auto"/>
        <w:right w:val="none" w:sz="0" w:space="0" w:color="auto"/>
      </w:divBdr>
    </w:div>
    <w:div w:id="482896791">
      <w:bodyDiv w:val="1"/>
      <w:marLeft w:val="0"/>
      <w:marRight w:val="0"/>
      <w:marTop w:val="0"/>
      <w:marBottom w:val="0"/>
      <w:divBdr>
        <w:top w:val="none" w:sz="0" w:space="0" w:color="auto"/>
        <w:left w:val="none" w:sz="0" w:space="0" w:color="auto"/>
        <w:bottom w:val="none" w:sz="0" w:space="0" w:color="auto"/>
        <w:right w:val="none" w:sz="0" w:space="0" w:color="auto"/>
      </w:divBdr>
    </w:div>
    <w:div w:id="535385247">
      <w:bodyDiv w:val="1"/>
      <w:marLeft w:val="0"/>
      <w:marRight w:val="0"/>
      <w:marTop w:val="0"/>
      <w:marBottom w:val="0"/>
      <w:divBdr>
        <w:top w:val="none" w:sz="0" w:space="0" w:color="auto"/>
        <w:left w:val="none" w:sz="0" w:space="0" w:color="auto"/>
        <w:bottom w:val="none" w:sz="0" w:space="0" w:color="auto"/>
        <w:right w:val="none" w:sz="0" w:space="0" w:color="auto"/>
      </w:divBdr>
    </w:div>
    <w:div w:id="535889777">
      <w:bodyDiv w:val="1"/>
      <w:marLeft w:val="0"/>
      <w:marRight w:val="0"/>
      <w:marTop w:val="0"/>
      <w:marBottom w:val="0"/>
      <w:divBdr>
        <w:top w:val="none" w:sz="0" w:space="0" w:color="auto"/>
        <w:left w:val="none" w:sz="0" w:space="0" w:color="auto"/>
        <w:bottom w:val="none" w:sz="0" w:space="0" w:color="auto"/>
        <w:right w:val="none" w:sz="0" w:space="0" w:color="auto"/>
      </w:divBdr>
    </w:div>
    <w:div w:id="586043082">
      <w:bodyDiv w:val="1"/>
      <w:marLeft w:val="0"/>
      <w:marRight w:val="0"/>
      <w:marTop w:val="0"/>
      <w:marBottom w:val="0"/>
      <w:divBdr>
        <w:top w:val="none" w:sz="0" w:space="0" w:color="auto"/>
        <w:left w:val="none" w:sz="0" w:space="0" w:color="auto"/>
        <w:bottom w:val="none" w:sz="0" w:space="0" w:color="auto"/>
        <w:right w:val="none" w:sz="0" w:space="0" w:color="auto"/>
      </w:divBdr>
    </w:div>
    <w:div w:id="633680419">
      <w:bodyDiv w:val="1"/>
      <w:marLeft w:val="0"/>
      <w:marRight w:val="0"/>
      <w:marTop w:val="0"/>
      <w:marBottom w:val="0"/>
      <w:divBdr>
        <w:top w:val="none" w:sz="0" w:space="0" w:color="auto"/>
        <w:left w:val="none" w:sz="0" w:space="0" w:color="auto"/>
        <w:bottom w:val="none" w:sz="0" w:space="0" w:color="auto"/>
        <w:right w:val="none" w:sz="0" w:space="0" w:color="auto"/>
      </w:divBdr>
    </w:div>
    <w:div w:id="709569744">
      <w:bodyDiv w:val="1"/>
      <w:marLeft w:val="0"/>
      <w:marRight w:val="0"/>
      <w:marTop w:val="0"/>
      <w:marBottom w:val="0"/>
      <w:divBdr>
        <w:top w:val="none" w:sz="0" w:space="0" w:color="auto"/>
        <w:left w:val="none" w:sz="0" w:space="0" w:color="auto"/>
        <w:bottom w:val="none" w:sz="0" w:space="0" w:color="auto"/>
        <w:right w:val="none" w:sz="0" w:space="0" w:color="auto"/>
      </w:divBdr>
    </w:div>
    <w:div w:id="912735099">
      <w:bodyDiv w:val="1"/>
      <w:marLeft w:val="0"/>
      <w:marRight w:val="0"/>
      <w:marTop w:val="0"/>
      <w:marBottom w:val="0"/>
      <w:divBdr>
        <w:top w:val="none" w:sz="0" w:space="0" w:color="auto"/>
        <w:left w:val="none" w:sz="0" w:space="0" w:color="auto"/>
        <w:bottom w:val="none" w:sz="0" w:space="0" w:color="auto"/>
        <w:right w:val="none" w:sz="0" w:space="0" w:color="auto"/>
      </w:divBdr>
    </w:div>
    <w:div w:id="1095632994">
      <w:bodyDiv w:val="1"/>
      <w:marLeft w:val="0"/>
      <w:marRight w:val="0"/>
      <w:marTop w:val="0"/>
      <w:marBottom w:val="0"/>
      <w:divBdr>
        <w:top w:val="none" w:sz="0" w:space="0" w:color="auto"/>
        <w:left w:val="none" w:sz="0" w:space="0" w:color="auto"/>
        <w:bottom w:val="none" w:sz="0" w:space="0" w:color="auto"/>
        <w:right w:val="none" w:sz="0" w:space="0" w:color="auto"/>
      </w:divBdr>
    </w:div>
    <w:div w:id="1140073216">
      <w:marLeft w:val="0"/>
      <w:marRight w:val="0"/>
      <w:marTop w:val="0"/>
      <w:marBottom w:val="0"/>
      <w:divBdr>
        <w:top w:val="none" w:sz="0" w:space="0" w:color="auto"/>
        <w:left w:val="none" w:sz="0" w:space="0" w:color="auto"/>
        <w:bottom w:val="none" w:sz="0" w:space="0" w:color="auto"/>
        <w:right w:val="none" w:sz="0" w:space="0" w:color="auto"/>
      </w:divBdr>
    </w:div>
    <w:div w:id="1140073217">
      <w:marLeft w:val="0"/>
      <w:marRight w:val="0"/>
      <w:marTop w:val="0"/>
      <w:marBottom w:val="0"/>
      <w:divBdr>
        <w:top w:val="none" w:sz="0" w:space="0" w:color="auto"/>
        <w:left w:val="none" w:sz="0" w:space="0" w:color="auto"/>
        <w:bottom w:val="none" w:sz="0" w:space="0" w:color="auto"/>
        <w:right w:val="none" w:sz="0" w:space="0" w:color="auto"/>
      </w:divBdr>
    </w:div>
    <w:div w:id="1140073218">
      <w:marLeft w:val="0"/>
      <w:marRight w:val="0"/>
      <w:marTop w:val="0"/>
      <w:marBottom w:val="0"/>
      <w:divBdr>
        <w:top w:val="none" w:sz="0" w:space="0" w:color="auto"/>
        <w:left w:val="none" w:sz="0" w:space="0" w:color="auto"/>
        <w:bottom w:val="none" w:sz="0" w:space="0" w:color="auto"/>
        <w:right w:val="none" w:sz="0" w:space="0" w:color="auto"/>
      </w:divBdr>
    </w:div>
    <w:div w:id="1140073219">
      <w:marLeft w:val="0"/>
      <w:marRight w:val="0"/>
      <w:marTop w:val="0"/>
      <w:marBottom w:val="0"/>
      <w:divBdr>
        <w:top w:val="none" w:sz="0" w:space="0" w:color="auto"/>
        <w:left w:val="none" w:sz="0" w:space="0" w:color="auto"/>
        <w:bottom w:val="none" w:sz="0" w:space="0" w:color="auto"/>
        <w:right w:val="none" w:sz="0" w:space="0" w:color="auto"/>
      </w:divBdr>
    </w:div>
    <w:div w:id="1140073220">
      <w:marLeft w:val="0"/>
      <w:marRight w:val="0"/>
      <w:marTop w:val="0"/>
      <w:marBottom w:val="0"/>
      <w:divBdr>
        <w:top w:val="none" w:sz="0" w:space="0" w:color="auto"/>
        <w:left w:val="none" w:sz="0" w:space="0" w:color="auto"/>
        <w:bottom w:val="none" w:sz="0" w:space="0" w:color="auto"/>
        <w:right w:val="none" w:sz="0" w:space="0" w:color="auto"/>
      </w:divBdr>
    </w:div>
    <w:div w:id="1140073221">
      <w:marLeft w:val="0"/>
      <w:marRight w:val="0"/>
      <w:marTop w:val="0"/>
      <w:marBottom w:val="0"/>
      <w:divBdr>
        <w:top w:val="none" w:sz="0" w:space="0" w:color="auto"/>
        <w:left w:val="none" w:sz="0" w:space="0" w:color="auto"/>
        <w:bottom w:val="none" w:sz="0" w:space="0" w:color="auto"/>
        <w:right w:val="none" w:sz="0" w:space="0" w:color="auto"/>
      </w:divBdr>
    </w:div>
    <w:div w:id="1140073222">
      <w:marLeft w:val="0"/>
      <w:marRight w:val="0"/>
      <w:marTop w:val="0"/>
      <w:marBottom w:val="0"/>
      <w:divBdr>
        <w:top w:val="none" w:sz="0" w:space="0" w:color="auto"/>
        <w:left w:val="none" w:sz="0" w:space="0" w:color="auto"/>
        <w:bottom w:val="none" w:sz="0" w:space="0" w:color="auto"/>
        <w:right w:val="none" w:sz="0" w:space="0" w:color="auto"/>
      </w:divBdr>
    </w:div>
    <w:div w:id="1140073223">
      <w:marLeft w:val="0"/>
      <w:marRight w:val="0"/>
      <w:marTop w:val="0"/>
      <w:marBottom w:val="0"/>
      <w:divBdr>
        <w:top w:val="none" w:sz="0" w:space="0" w:color="auto"/>
        <w:left w:val="none" w:sz="0" w:space="0" w:color="auto"/>
        <w:bottom w:val="none" w:sz="0" w:space="0" w:color="auto"/>
        <w:right w:val="none" w:sz="0" w:space="0" w:color="auto"/>
      </w:divBdr>
    </w:div>
    <w:div w:id="1140073224">
      <w:marLeft w:val="0"/>
      <w:marRight w:val="0"/>
      <w:marTop w:val="0"/>
      <w:marBottom w:val="0"/>
      <w:divBdr>
        <w:top w:val="none" w:sz="0" w:space="0" w:color="auto"/>
        <w:left w:val="none" w:sz="0" w:space="0" w:color="auto"/>
        <w:bottom w:val="none" w:sz="0" w:space="0" w:color="auto"/>
        <w:right w:val="none" w:sz="0" w:space="0" w:color="auto"/>
      </w:divBdr>
    </w:div>
    <w:div w:id="1140073225">
      <w:marLeft w:val="0"/>
      <w:marRight w:val="0"/>
      <w:marTop w:val="0"/>
      <w:marBottom w:val="0"/>
      <w:divBdr>
        <w:top w:val="none" w:sz="0" w:space="0" w:color="auto"/>
        <w:left w:val="none" w:sz="0" w:space="0" w:color="auto"/>
        <w:bottom w:val="none" w:sz="0" w:space="0" w:color="auto"/>
        <w:right w:val="none" w:sz="0" w:space="0" w:color="auto"/>
      </w:divBdr>
    </w:div>
    <w:div w:id="1207986857">
      <w:bodyDiv w:val="1"/>
      <w:marLeft w:val="0"/>
      <w:marRight w:val="0"/>
      <w:marTop w:val="0"/>
      <w:marBottom w:val="0"/>
      <w:divBdr>
        <w:top w:val="none" w:sz="0" w:space="0" w:color="auto"/>
        <w:left w:val="none" w:sz="0" w:space="0" w:color="auto"/>
        <w:bottom w:val="none" w:sz="0" w:space="0" w:color="auto"/>
        <w:right w:val="none" w:sz="0" w:space="0" w:color="auto"/>
      </w:divBdr>
    </w:div>
    <w:div w:id="1209994639">
      <w:bodyDiv w:val="1"/>
      <w:marLeft w:val="0"/>
      <w:marRight w:val="0"/>
      <w:marTop w:val="0"/>
      <w:marBottom w:val="0"/>
      <w:divBdr>
        <w:top w:val="none" w:sz="0" w:space="0" w:color="auto"/>
        <w:left w:val="none" w:sz="0" w:space="0" w:color="auto"/>
        <w:bottom w:val="none" w:sz="0" w:space="0" w:color="auto"/>
        <w:right w:val="none" w:sz="0" w:space="0" w:color="auto"/>
      </w:divBdr>
    </w:div>
    <w:div w:id="1363552319">
      <w:bodyDiv w:val="1"/>
      <w:marLeft w:val="0"/>
      <w:marRight w:val="0"/>
      <w:marTop w:val="0"/>
      <w:marBottom w:val="0"/>
      <w:divBdr>
        <w:top w:val="none" w:sz="0" w:space="0" w:color="auto"/>
        <w:left w:val="none" w:sz="0" w:space="0" w:color="auto"/>
        <w:bottom w:val="none" w:sz="0" w:space="0" w:color="auto"/>
        <w:right w:val="none" w:sz="0" w:space="0" w:color="auto"/>
      </w:divBdr>
    </w:div>
    <w:div w:id="1532114239">
      <w:bodyDiv w:val="1"/>
      <w:marLeft w:val="0"/>
      <w:marRight w:val="0"/>
      <w:marTop w:val="0"/>
      <w:marBottom w:val="0"/>
      <w:divBdr>
        <w:top w:val="none" w:sz="0" w:space="0" w:color="auto"/>
        <w:left w:val="none" w:sz="0" w:space="0" w:color="auto"/>
        <w:bottom w:val="none" w:sz="0" w:space="0" w:color="auto"/>
        <w:right w:val="none" w:sz="0" w:space="0" w:color="auto"/>
      </w:divBdr>
      <w:divsChild>
        <w:div w:id="1741050788">
          <w:marLeft w:val="0"/>
          <w:marRight w:val="0"/>
          <w:marTop w:val="0"/>
          <w:marBottom w:val="0"/>
          <w:divBdr>
            <w:top w:val="none" w:sz="0" w:space="0" w:color="auto"/>
            <w:left w:val="none" w:sz="0" w:space="0" w:color="auto"/>
            <w:bottom w:val="none" w:sz="0" w:space="0" w:color="auto"/>
            <w:right w:val="none" w:sz="0" w:space="0" w:color="auto"/>
          </w:divBdr>
          <w:divsChild>
            <w:div w:id="1923248325">
              <w:marLeft w:val="0"/>
              <w:marRight w:val="0"/>
              <w:marTop w:val="0"/>
              <w:marBottom w:val="0"/>
              <w:divBdr>
                <w:top w:val="none" w:sz="0" w:space="0" w:color="auto"/>
                <w:left w:val="none" w:sz="0" w:space="0" w:color="auto"/>
                <w:bottom w:val="none" w:sz="0" w:space="0" w:color="auto"/>
                <w:right w:val="none" w:sz="0" w:space="0" w:color="auto"/>
              </w:divBdr>
              <w:divsChild>
                <w:div w:id="955330162">
                  <w:marLeft w:val="0"/>
                  <w:marRight w:val="0"/>
                  <w:marTop w:val="0"/>
                  <w:marBottom w:val="0"/>
                  <w:divBdr>
                    <w:top w:val="none" w:sz="0" w:space="0" w:color="auto"/>
                    <w:left w:val="none" w:sz="0" w:space="0" w:color="auto"/>
                    <w:bottom w:val="none" w:sz="0" w:space="0" w:color="auto"/>
                    <w:right w:val="none" w:sz="0" w:space="0" w:color="auto"/>
                  </w:divBdr>
                  <w:divsChild>
                    <w:div w:id="1075780935">
                      <w:marLeft w:val="0"/>
                      <w:marRight w:val="0"/>
                      <w:marTop w:val="0"/>
                      <w:marBottom w:val="0"/>
                      <w:divBdr>
                        <w:top w:val="none" w:sz="0" w:space="0" w:color="auto"/>
                        <w:left w:val="none" w:sz="0" w:space="0" w:color="auto"/>
                        <w:bottom w:val="none" w:sz="0" w:space="0" w:color="auto"/>
                        <w:right w:val="none" w:sz="0" w:space="0" w:color="auto"/>
                      </w:divBdr>
                      <w:divsChild>
                        <w:div w:id="20157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45112">
      <w:bodyDiv w:val="1"/>
      <w:marLeft w:val="0"/>
      <w:marRight w:val="0"/>
      <w:marTop w:val="0"/>
      <w:marBottom w:val="0"/>
      <w:divBdr>
        <w:top w:val="none" w:sz="0" w:space="0" w:color="auto"/>
        <w:left w:val="none" w:sz="0" w:space="0" w:color="auto"/>
        <w:bottom w:val="none" w:sz="0" w:space="0" w:color="auto"/>
        <w:right w:val="none" w:sz="0" w:space="0" w:color="auto"/>
      </w:divBdr>
    </w:div>
    <w:div w:id="1612861470">
      <w:bodyDiv w:val="1"/>
      <w:marLeft w:val="0"/>
      <w:marRight w:val="0"/>
      <w:marTop w:val="0"/>
      <w:marBottom w:val="0"/>
      <w:divBdr>
        <w:top w:val="none" w:sz="0" w:space="0" w:color="auto"/>
        <w:left w:val="none" w:sz="0" w:space="0" w:color="auto"/>
        <w:bottom w:val="none" w:sz="0" w:space="0" w:color="auto"/>
        <w:right w:val="none" w:sz="0" w:space="0" w:color="auto"/>
      </w:divBdr>
    </w:div>
    <w:div w:id="1638795894">
      <w:bodyDiv w:val="1"/>
      <w:marLeft w:val="0"/>
      <w:marRight w:val="0"/>
      <w:marTop w:val="0"/>
      <w:marBottom w:val="0"/>
      <w:divBdr>
        <w:top w:val="none" w:sz="0" w:space="0" w:color="auto"/>
        <w:left w:val="none" w:sz="0" w:space="0" w:color="auto"/>
        <w:bottom w:val="none" w:sz="0" w:space="0" w:color="auto"/>
        <w:right w:val="none" w:sz="0" w:space="0" w:color="auto"/>
      </w:divBdr>
    </w:div>
    <w:div w:id="1673751537">
      <w:bodyDiv w:val="1"/>
      <w:marLeft w:val="0"/>
      <w:marRight w:val="0"/>
      <w:marTop w:val="0"/>
      <w:marBottom w:val="0"/>
      <w:divBdr>
        <w:top w:val="none" w:sz="0" w:space="0" w:color="auto"/>
        <w:left w:val="none" w:sz="0" w:space="0" w:color="auto"/>
        <w:bottom w:val="none" w:sz="0" w:space="0" w:color="auto"/>
        <w:right w:val="none" w:sz="0" w:space="0" w:color="auto"/>
      </w:divBdr>
    </w:div>
    <w:div w:id="1703088509">
      <w:bodyDiv w:val="1"/>
      <w:marLeft w:val="0"/>
      <w:marRight w:val="0"/>
      <w:marTop w:val="0"/>
      <w:marBottom w:val="0"/>
      <w:divBdr>
        <w:top w:val="none" w:sz="0" w:space="0" w:color="auto"/>
        <w:left w:val="none" w:sz="0" w:space="0" w:color="auto"/>
        <w:bottom w:val="none" w:sz="0" w:space="0" w:color="auto"/>
        <w:right w:val="none" w:sz="0" w:space="0" w:color="auto"/>
      </w:divBdr>
    </w:div>
    <w:div w:id="1735348634">
      <w:bodyDiv w:val="1"/>
      <w:marLeft w:val="0"/>
      <w:marRight w:val="0"/>
      <w:marTop w:val="0"/>
      <w:marBottom w:val="0"/>
      <w:divBdr>
        <w:top w:val="none" w:sz="0" w:space="0" w:color="auto"/>
        <w:left w:val="none" w:sz="0" w:space="0" w:color="auto"/>
        <w:bottom w:val="none" w:sz="0" w:space="0" w:color="auto"/>
        <w:right w:val="none" w:sz="0" w:space="0" w:color="auto"/>
      </w:divBdr>
    </w:div>
    <w:div w:id="1889878038">
      <w:bodyDiv w:val="1"/>
      <w:marLeft w:val="0"/>
      <w:marRight w:val="0"/>
      <w:marTop w:val="0"/>
      <w:marBottom w:val="0"/>
      <w:divBdr>
        <w:top w:val="none" w:sz="0" w:space="0" w:color="auto"/>
        <w:left w:val="none" w:sz="0" w:space="0" w:color="auto"/>
        <w:bottom w:val="none" w:sz="0" w:space="0" w:color="auto"/>
        <w:right w:val="none" w:sz="0" w:space="0" w:color="auto"/>
      </w:divBdr>
    </w:div>
    <w:div w:id="2018343645">
      <w:bodyDiv w:val="1"/>
      <w:marLeft w:val="0"/>
      <w:marRight w:val="0"/>
      <w:marTop w:val="0"/>
      <w:marBottom w:val="0"/>
      <w:divBdr>
        <w:top w:val="none" w:sz="0" w:space="0" w:color="auto"/>
        <w:left w:val="none" w:sz="0" w:space="0" w:color="auto"/>
        <w:bottom w:val="none" w:sz="0" w:space="0" w:color="auto"/>
        <w:right w:val="none" w:sz="0" w:space="0" w:color="auto"/>
      </w:divBdr>
    </w:div>
    <w:div w:id="208745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eda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seda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9BFC8-4402-479C-AD87-0E417B4C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16020</Words>
  <Characters>90995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CORONET METALS INC</vt:lpstr>
    </vt:vector>
  </TitlesOfParts>
  <Company>Toshiba</Company>
  <LinksUpToDate>false</LinksUpToDate>
  <CharactersWithSpaces>106802</CharactersWithSpaces>
  <SharedDoc>false</SharedDoc>
  <HLinks>
    <vt:vector size="12" baseType="variant">
      <vt:variant>
        <vt:i4>4194325</vt:i4>
      </vt:variant>
      <vt:variant>
        <vt:i4>3</vt:i4>
      </vt:variant>
      <vt:variant>
        <vt:i4>0</vt:i4>
      </vt:variant>
      <vt:variant>
        <vt:i4>5</vt:i4>
      </vt:variant>
      <vt:variant>
        <vt:lpwstr>http://www.sedar.com/</vt:lpwstr>
      </vt:variant>
      <vt:variant>
        <vt:lpwstr/>
      </vt:variant>
      <vt:variant>
        <vt:i4>4194325</vt:i4>
      </vt:variant>
      <vt:variant>
        <vt:i4>0</vt:i4>
      </vt:variant>
      <vt:variant>
        <vt:i4>0</vt:i4>
      </vt:variant>
      <vt:variant>
        <vt:i4>5</vt:i4>
      </vt:variant>
      <vt:variant>
        <vt:lpwstr>http://www.sedar.com/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CORONET METALS INC</dc:title>
  <dc:creator>Theo</dc:creator>
  <cp:lastModifiedBy>Leah Dionne</cp:lastModifiedBy>
  <cp:revision>4</cp:revision>
  <cp:lastPrinted>2020-08-31T17:42:00Z</cp:lastPrinted>
  <dcterms:created xsi:type="dcterms:W3CDTF">2020-08-27T16:06:00Z</dcterms:created>
  <dcterms:modified xsi:type="dcterms:W3CDTF">2020-08-31T17:47:00Z</dcterms:modified>
</cp:coreProperties>
</file>